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EF" w:rsidRPr="002B5E2E" w:rsidRDefault="00B924CE" w:rsidP="00514899">
      <w:pPr>
        <w:spacing w:after="0" w:line="240" w:lineRule="auto"/>
        <w:rPr>
          <w:b/>
        </w:rPr>
      </w:pPr>
      <w:r w:rsidRPr="002B5E2E">
        <w:rPr>
          <w:b/>
        </w:rPr>
        <w:t>Article :</w:t>
      </w:r>
    </w:p>
    <w:p w:rsidR="00B924CE" w:rsidRDefault="00B924CE" w:rsidP="002B5E2E">
      <w:pPr>
        <w:spacing w:after="0" w:line="240" w:lineRule="auto"/>
        <w:jc w:val="center"/>
        <w:rPr>
          <w:b/>
        </w:rPr>
      </w:pPr>
      <w:r w:rsidRPr="002B5E2E">
        <w:rPr>
          <w:b/>
        </w:rPr>
        <w:t>Exercice professionnel en couple, les bons choix à opérer</w:t>
      </w:r>
    </w:p>
    <w:p w:rsidR="002B5E2E" w:rsidRPr="002B5E2E" w:rsidRDefault="002B5E2E" w:rsidP="002B5E2E">
      <w:pPr>
        <w:spacing w:after="0" w:line="240" w:lineRule="auto"/>
        <w:jc w:val="center"/>
        <w:rPr>
          <w:b/>
        </w:rPr>
      </w:pPr>
    </w:p>
    <w:p w:rsidR="00514899" w:rsidRDefault="00B924CE" w:rsidP="00514899">
      <w:pPr>
        <w:spacing w:after="0" w:line="240" w:lineRule="auto"/>
      </w:pPr>
      <w:r>
        <w:t>Depuis la loi</w:t>
      </w:r>
      <w:r w:rsidR="00514899">
        <w:t xml:space="preserve"> en faveur des petites et moyennes entreprise</w:t>
      </w:r>
      <w:r w:rsidR="00514899">
        <w:rPr>
          <w:rStyle w:val="Appelnotedebasdep"/>
        </w:rPr>
        <w:footnoteReference w:id="1"/>
      </w:r>
      <w:r>
        <w:t xml:space="preserve">, le conjoint d’un dirigeant d’entreprise </w:t>
      </w:r>
      <w:r w:rsidR="00514899">
        <w:t>qui y exerce de manière régulière une activité professionnelle doit nécessaire</w:t>
      </w:r>
      <w:r w:rsidR="002B5E2E">
        <w:t>ment</w:t>
      </w:r>
      <w:r w:rsidR="00514899">
        <w:t xml:space="preserve"> opter pour l'un des statuts suivants</w:t>
      </w:r>
      <w:r w:rsidR="00514899">
        <w:rPr>
          <w:rStyle w:val="Appelnotedebasdep"/>
        </w:rPr>
        <w:footnoteReference w:id="2"/>
      </w:r>
      <w:r w:rsidR="00514899">
        <w:t> :</w:t>
      </w:r>
    </w:p>
    <w:p w:rsidR="00B924CE" w:rsidRDefault="00B924CE" w:rsidP="00514899">
      <w:pPr>
        <w:pStyle w:val="Paragraphedeliste"/>
        <w:numPr>
          <w:ilvl w:val="0"/>
          <w:numId w:val="7"/>
        </w:numPr>
        <w:spacing w:after="0" w:line="240" w:lineRule="auto"/>
      </w:pPr>
      <w:r>
        <w:t>Conjoint associé</w:t>
      </w:r>
    </w:p>
    <w:p w:rsidR="00B924CE" w:rsidRDefault="00B924CE" w:rsidP="00514899">
      <w:pPr>
        <w:pStyle w:val="Paragraphedeliste"/>
        <w:numPr>
          <w:ilvl w:val="0"/>
          <w:numId w:val="7"/>
        </w:numPr>
        <w:spacing w:after="0" w:line="240" w:lineRule="auto"/>
      </w:pPr>
      <w:r>
        <w:t>Conjoint collaborateur</w:t>
      </w:r>
    </w:p>
    <w:p w:rsidR="00B924CE" w:rsidRDefault="00B924CE" w:rsidP="00514899">
      <w:pPr>
        <w:pStyle w:val="Paragraphedeliste"/>
        <w:numPr>
          <w:ilvl w:val="0"/>
          <w:numId w:val="7"/>
        </w:numPr>
        <w:spacing w:after="0" w:line="240" w:lineRule="auto"/>
      </w:pPr>
      <w:r>
        <w:t>Conjoint salarié</w:t>
      </w:r>
    </w:p>
    <w:p w:rsidR="008A29CC" w:rsidRDefault="008A29CC" w:rsidP="00514899">
      <w:pPr>
        <w:spacing w:after="0" w:line="240" w:lineRule="auto"/>
      </w:pPr>
    </w:p>
    <w:p w:rsidR="00B924CE" w:rsidRDefault="00514899" w:rsidP="00514899">
      <w:pPr>
        <w:spacing w:after="0" w:line="240" w:lineRule="auto"/>
      </w:pPr>
      <w:r>
        <w:t xml:space="preserve">L’objet de ce cas pratique est de faire </w:t>
      </w:r>
      <w:r w:rsidR="008A29CC">
        <w:t xml:space="preserve">un </w:t>
      </w:r>
      <w:r>
        <w:t>f</w:t>
      </w:r>
      <w:r w:rsidR="00B924CE">
        <w:t>ocus sur le statut de conjoint salarié</w:t>
      </w:r>
      <w:r w:rsidR="00081FB0">
        <w:t> :</w:t>
      </w:r>
    </w:p>
    <w:p w:rsidR="008A29CC" w:rsidRDefault="008A29CC" w:rsidP="00514899">
      <w:pPr>
        <w:spacing w:after="0" w:line="240" w:lineRule="auto"/>
      </w:pPr>
    </w:p>
    <w:p w:rsidR="00B924CE" w:rsidRPr="008A29CC" w:rsidRDefault="008A29CC" w:rsidP="00514899">
      <w:pPr>
        <w:spacing w:after="0" w:line="240" w:lineRule="auto"/>
        <w:rPr>
          <w:b/>
        </w:rPr>
      </w:pPr>
      <w:r>
        <w:rPr>
          <w:b/>
        </w:rPr>
        <w:t>Quel</w:t>
      </w:r>
      <w:r w:rsidR="00B924CE" w:rsidRPr="008A29CC">
        <w:rPr>
          <w:b/>
        </w:rPr>
        <w:t xml:space="preserve"> statut : salarié ou assimilé salarié ?</w:t>
      </w:r>
    </w:p>
    <w:p w:rsidR="008A29CC" w:rsidRDefault="008A29CC" w:rsidP="00514899">
      <w:pPr>
        <w:spacing w:after="0" w:line="240" w:lineRule="auto"/>
      </w:pPr>
    </w:p>
    <w:p w:rsidR="00E74D64" w:rsidRDefault="002B5E2E" w:rsidP="00514899">
      <w:pPr>
        <w:spacing w:after="0" w:line="240" w:lineRule="auto"/>
      </w:pPr>
      <w:r>
        <w:t xml:space="preserve">Pour mémoire, l’assimilé-salarié est salarié mandataire social d’une entreprise sans contrat de travail et ne cotisant pas à </w:t>
      </w:r>
      <w:r w:rsidR="00313089">
        <w:t>pôle</w:t>
      </w:r>
      <w:r>
        <w:t xml:space="preserve"> emploi. En théorie, l</w:t>
      </w:r>
      <w:r w:rsidR="00B924CE">
        <w:t>es 2 statuts s</w:t>
      </w:r>
      <w:r w:rsidR="008A29CC">
        <w:t>eraie</w:t>
      </w:r>
      <w:r w:rsidR="00B924CE">
        <w:t xml:space="preserve">nt </w:t>
      </w:r>
      <w:r w:rsidR="008A29CC">
        <w:t>logiquement possibles</w:t>
      </w:r>
      <w:r w:rsidR="00B924CE">
        <w:t>.</w:t>
      </w:r>
      <w:r w:rsidR="00C64C5F">
        <w:t xml:space="preserve"> </w:t>
      </w:r>
      <w:r w:rsidR="008A29CC">
        <w:t xml:space="preserve">Il est courant d’entendre qu’un conjoint possédant des parts sociales dans l’entreprise et ayant la signature sur le carnet de chèque de l’entreprise ne pourrait pas bénéficier </w:t>
      </w:r>
      <w:r w:rsidR="00081FB0">
        <w:t>d’un</w:t>
      </w:r>
      <w:r w:rsidR="003030BA">
        <w:t>e</w:t>
      </w:r>
      <w:r w:rsidR="00081FB0">
        <w:t xml:space="preserve"> couverture chômage par le régime de pôle emploi car considéré comme mandataire de fait.</w:t>
      </w:r>
      <w:r w:rsidR="00C64C5F">
        <w:t xml:space="preserve"> </w:t>
      </w:r>
      <w:r w:rsidR="00081FB0">
        <w:t xml:space="preserve">Depuis plusieurs années, les jurisprudences sont constantes et il est admis que la relation de travail </w:t>
      </w:r>
      <w:r w:rsidR="00C82AA0">
        <w:t xml:space="preserve">entre un dirigeant d’entreprise et son conjoint </w:t>
      </w:r>
      <w:r w:rsidR="00081FB0">
        <w:t xml:space="preserve">se caractérise par un lien </w:t>
      </w:r>
      <w:r w:rsidR="00E74D64">
        <w:t>de la subordination</w:t>
      </w:r>
      <w:r w:rsidR="00081FB0">
        <w:t xml:space="preserve"> dans lequel se trouve placé celui qui engage ses services vis-à-vis de son employeur</w:t>
      </w:r>
      <w:r w:rsidR="00E74D64">
        <w:t>.</w:t>
      </w:r>
      <w:r w:rsidR="00E74D64">
        <w:rPr>
          <w:rStyle w:val="Appelnotedebasdep"/>
        </w:rPr>
        <w:footnoteReference w:id="3"/>
      </w:r>
    </w:p>
    <w:p w:rsidR="00E74D64" w:rsidRDefault="00E74D64" w:rsidP="00514899">
      <w:pPr>
        <w:spacing w:after="0" w:line="240" w:lineRule="auto"/>
      </w:pPr>
    </w:p>
    <w:p w:rsidR="00E74D64" w:rsidRDefault="00E74D64" w:rsidP="00514899">
      <w:pPr>
        <w:spacing w:after="0" w:line="240" w:lineRule="auto"/>
      </w:pPr>
      <w:r>
        <w:t>Dans l’hypothèse d’une rupture du contrat de travail</w:t>
      </w:r>
      <w:r w:rsidR="00C82AA0">
        <w:t xml:space="preserve"> du conjoint salarié</w:t>
      </w:r>
      <w:r>
        <w:t>, concomitamment à la disparition par exemple du lien matrimonial l’unissant au gérant</w:t>
      </w:r>
      <w:r w:rsidR="00C64C5F">
        <w:t xml:space="preserve"> ou président de l’entreprise, P</w:t>
      </w:r>
      <w:r>
        <w:t xml:space="preserve">ôle emploi procéderait alors à son indemnisation. </w:t>
      </w:r>
      <w:r w:rsidR="00C64C5F">
        <w:t xml:space="preserve"> </w:t>
      </w:r>
      <w:r w:rsidR="00C82AA0">
        <w:t>Cependant, il faut préciser</w:t>
      </w:r>
      <w:r>
        <w:t xml:space="preserve"> que la position de Pôle Emploi n’est</w:t>
      </w:r>
      <w:r w:rsidR="003030BA">
        <w:t xml:space="preserve"> pas</w:t>
      </w:r>
      <w:r>
        <w:t xml:space="preserve"> uniforme</w:t>
      </w:r>
      <w:r w:rsidR="00893D8C">
        <w:t xml:space="preserve"> sur le territoire national et que </w:t>
      </w:r>
      <w:r>
        <w:t>certaine</w:t>
      </w:r>
      <w:r w:rsidR="00C82AA0">
        <w:t>s</w:t>
      </w:r>
      <w:r w:rsidR="00893D8C">
        <w:t xml:space="preserve"> caisses de p</w:t>
      </w:r>
      <w:r>
        <w:t>rovince refuse</w:t>
      </w:r>
      <w:r w:rsidR="00C82AA0">
        <w:t>nt de reconnaître le</w:t>
      </w:r>
      <w:r>
        <w:t xml:space="preserve"> lien de subordination</w:t>
      </w:r>
      <w:r w:rsidR="00893D8C">
        <w:t xml:space="preserve"> ci-dessus évoqué</w:t>
      </w:r>
      <w:r>
        <w:t>. Pour éviter tout recours devant les juridictions désignées</w:t>
      </w:r>
      <w:r w:rsidR="00C82AA0">
        <w:t xml:space="preserve"> le jour de survenance du sinistre</w:t>
      </w:r>
      <w:r w:rsidR="00C64C5F">
        <w:t>,</w:t>
      </w:r>
      <w:r w:rsidR="00C82AA0">
        <w:t xml:space="preserve"> ou pour éviter de cotiser à fonds perdus</w:t>
      </w:r>
      <w:r w:rsidR="00893D8C">
        <w:t>, il est conseillé</w:t>
      </w:r>
      <w:r>
        <w:t xml:space="preserve"> d’interroger la caisse Pôle Emploi dont relève l’entreprise et d’obtenir de leur part une réponse écrite de reconnaissance du droit à l’assurance chômage.</w:t>
      </w:r>
    </w:p>
    <w:p w:rsidR="00C82AA0" w:rsidRPr="000A6680" w:rsidRDefault="00C82AA0" w:rsidP="00514899">
      <w:pPr>
        <w:spacing w:after="0" w:line="240" w:lineRule="auto"/>
        <w:rPr>
          <w:rFonts w:cs="Arial"/>
          <w:bCs/>
          <w:color w:val="000000" w:themeColor="text1"/>
          <w:szCs w:val="24"/>
          <w:lang w:eastAsia="en-US"/>
        </w:rPr>
      </w:pPr>
      <w:r>
        <w:t>Pour cela, les conjoints salariés doivent compléter le « </w:t>
      </w:r>
      <w:r w:rsidRPr="00C82AA0">
        <w:rPr>
          <w:color w:val="000000" w:themeColor="text1"/>
        </w:rPr>
        <w:t xml:space="preserve">questionnaire </w:t>
      </w:r>
      <w:r w:rsidRPr="000A6680">
        <w:rPr>
          <w:rFonts w:cs="Arial"/>
          <w:bCs/>
          <w:color w:val="000000" w:themeColor="text1"/>
          <w:szCs w:val="24"/>
          <w:lang w:eastAsia="en-US"/>
        </w:rPr>
        <w:t>relatif à la participation à l’assurance chômage » accessible auprès de toutes les agences Pôle Emploi.</w:t>
      </w:r>
    </w:p>
    <w:p w:rsidR="00C82AA0" w:rsidRDefault="00C82AA0" w:rsidP="00514899">
      <w:pPr>
        <w:spacing w:after="0" w:line="240" w:lineRule="auto"/>
        <w:rPr>
          <w:rFonts w:ascii="Arial" w:hAnsi="Arial" w:cs="Arial"/>
          <w:bCs/>
          <w:color w:val="000000" w:themeColor="text1"/>
          <w:szCs w:val="24"/>
          <w:lang w:eastAsia="en-US"/>
        </w:rPr>
      </w:pPr>
    </w:p>
    <w:p w:rsidR="00B924CE" w:rsidRDefault="009213FF" w:rsidP="00514899">
      <w:pPr>
        <w:spacing w:after="0" w:line="240" w:lineRule="auto"/>
      </w:pPr>
      <w:r>
        <w:t xml:space="preserve">La conséquence </w:t>
      </w:r>
      <w:r w:rsidR="00C82AA0">
        <w:t xml:space="preserve">indirecte </w:t>
      </w:r>
      <w:r>
        <w:t>d’un</w:t>
      </w:r>
      <w:r w:rsidR="00C82AA0">
        <w:t>e</w:t>
      </w:r>
      <w:r>
        <w:t xml:space="preserve"> réponse positive de pôle emploi est d’ouvrir des droits en matière d’assurance chômage et selon les niveaux de rémunération, </w:t>
      </w:r>
      <w:r w:rsidR="00E144D2">
        <w:t>aux</w:t>
      </w:r>
      <w:r w:rsidR="00CB62E1">
        <w:t xml:space="preserve"> réductions</w:t>
      </w:r>
      <w:r>
        <w:t xml:space="preserve"> de charges sociales (dites réduction Fillon) e</w:t>
      </w:r>
      <w:r w:rsidR="00CB62E1">
        <w:t>t aux rédu</w:t>
      </w:r>
      <w:r w:rsidR="00C82AA0">
        <w:t xml:space="preserve">ctions fiscale (CICE) ainsi </w:t>
      </w:r>
      <w:r w:rsidR="00CB62E1">
        <w:t xml:space="preserve">qu’à la </w:t>
      </w:r>
      <w:r w:rsidR="00C82AA0">
        <w:lastRenderedPageBreak/>
        <w:t>protection du code du travail et de la convention coll</w:t>
      </w:r>
      <w:r w:rsidR="00CB62E1">
        <w:t>ective dont relève l’entreprise et également d’ouvrir les portes de l’épargne salariale à l’entreprise….</w:t>
      </w:r>
    </w:p>
    <w:p w:rsidR="00C82AA0" w:rsidRDefault="00C82AA0" w:rsidP="00514899">
      <w:pPr>
        <w:spacing w:after="0" w:line="240" w:lineRule="auto"/>
      </w:pPr>
    </w:p>
    <w:p w:rsidR="009213FF" w:rsidRPr="00CA3779" w:rsidRDefault="00C82AA0" w:rsidP="00514899">
      <w:pPr>
        <w:spacing w:after="0" w:line="240" w:lineRule="auto"/>
        <w:rPr>
          <w:b/>
        </w:rPr>
      </w:pPr>
      <w:r w:rsidRPr="00CA3779">
        <w:rPr>
          <w:b/>
        </w:rPr>
        <w:t>Mutuelle santé : Madelin</w:t>
      </w:r>
      <w:r w:rsidR="00CA3779">
        <w:rPr>
          <w:b/>
        </w:rPr>
        <w:t xml:space="preserve"> ou</w:t>
      </w:r>
      <w:r w:rsidRPr="00CA3779">
        <w:rPr>
          <w:b/>
        </w:rPr>
        <w:t xml:space="preserve"> collective, </w:t>
      </w:r>
      <w:r w:rsidR="00CA3779">
        <w:rPr>
          <w:b/>
        </w:rPr>
        <w:t xml:space="preserve">quelle </w:t>
      </w:r>
      <w:r w:rsidRPr="00CA3779">
        <w:rPr>
          <w:b/>
        </w:rPr>
        <w:t>répartition optimale de la cotisation ?</w:t>
      </w:r>
    </w:p>
    <w:p w:rsidR="00C82AA0" w:rsidRDefault="00C82AA0" w:rsidP="00514899">
      <w:pPr>
        <w:spacing w:after="0" w:line="240" w:lineRule="auto"/>
      </w:pPr>
    </w:p>
    <w:p w:rsidR="009213FF" w:rsidRDefault="00E05913" w:rsidP="00514899">
      <w:pPr>
        <w:spacing w:after="0" w:line="240" w:lineRule="auto"/>
      </w:pPr>
      <w:r w:rsidRPr="00C64C5F">
        <w:t>Un conjoint salarié peut-il s’exonérer de cotiser à la complémentaire san</w:t>
      </w:r>
      <w:r w:rsidR="00C64C5F">
        <w:t xml:space="preserve">té collective de l’entreprise ? </w:t>
      </w:r>
      <w:r w:rsidR="009213FF">
        <w:t xml:space="preserve">Le conjoint salarié avec lien de subordination sera </w:t>
      </w:r>
      <w:r w:rsidR="00C82AA0">
        <w:t>rattaché</w:t>
      </w:r>
      <w:r w:rsidR="009213FF">
        <w:t xml:space="preserve"> à la convention collective dont relève l’entreprise</w:t>
      </w:r>
      <w:r w:rsidR="004C71ED">
        <w:t>. Il</w:t>
      </w:r>
      <w:r w:rsidR="009213FF">
        <w:t xml:space="preserve"> aura un</w:t>
      </w:r>
      <w:r w:rsidR="00B01580">
        <w:t>e</w:t>
      </w:r>
      <w:r w:rsidR="009213FF">
        <w:t xml:space="preserve"> couverture sociale minimale conventionnelle mais…</w:t>
      </w:r>
    </w:p>
    <w:p w:rsidR="009213FF" w:rsidRDefault="009213FF" w:rsidP="00514899">
      <w:pPr>
        <w:spacing w:after="0" w:line="240" w:lineRule="auto"/>
      </w:pPr>
      <w:r>
        <w:t>Peut-</w:t>
      </w:r>
      <w:r w:rsidR="00E144D2">
        <w:t>il</w:t>
      </w:r>
      <w:r>
        <w:t xml:space="preserve"> s’exonérer de cotiser à la complémentaire santé collective de l’entreprise ?</w:t>
      </w:r>
    </w:p>
    <w:p w:rsidR="00E05913" w:rsidRDefault="00C82AA0" w:rsidP="00E05913">
      <w:pPr>
        <w:spacing w:after="0" w:line="240" w:lineRule="auto"/>
      </w:pPr>
      <w:r>
        <w:t xml:space="preserve">Malgré les idées reçues, </w:t>
      </w:r>
      <w:r w:rsidR="00E05913">
        <w:t xml:space="preserve">le conjoint salarié peut s’exonérer d’adhérer à la complémentaire santé collective de l’entreprise si le chef d’entreprise est assimilé-salarié et qu’il a adhéré à une complémentaire santé collective à adhésion obligatoire pour le bénéficiaire, son conjoint et ses ayant droits, </w:t>
      </w:r>
      <w:r w:rsidR="00CA3779">
        <w:t>ou</w:t>
      </w:r>
      <w:r w:rsidR="00E05913">
        <w:t xml:space="preserve"> s’il est </w:t>
      </w:r>
      <w:r w:rsidR="00CF00EF">
        <w:t>gérant majoritaire</w:t>
      </w:r>
      <w:r w:rsidR="00CA3779">
        <w:t xml:space="preserve"> et qu’il a souscrit </w:t>
      </w:r>
      <w:r w:rsidR="00E05913">
        <w:t>un contrat Madelin dit de groupe</w:t>
      </w:r>
      <w:r w:rsidR="00E05913">
        <w:rPr>
          <w:rStyle w:val="Appelnotedebasdep"/>
        </w:rPr>
        <w:footnoteReference w:id="4"/>
      </w:r>
      <w:r w:rsidR="00E05913">
        <w:t>.</w:t>
      </w:r>
    </w:p>
    <w:p w:rsidR="00CF00EF" w:rsidRDefault="00CF00EF" w:rsidP="00E05913">
      <w:pPr>
        <w:spacing w:after="0" w:line="240" w:lineRule="auto"/>
      </w:pPr>
    </w:p>
    <w:p w:rsidR="00E05913" w:rsidRDefault="00E05913" w:rsidP="00E05913">
      <w:pPr>
        <w:autoSpaceDE w:val="0"/>
        <w:autoSpaceDN w:val="0"/>
        <w:adjustRightInd w:val="0"/>
        <w:spacing w:after="0" w:line="240" w:lineRule="auto"/>
      </w:pPr>
      <w:r>
        <w:t>Dans ce cas, les assureurs et certains spécialistes du droit social pense</w:t>
      </w:r>
      <w:r w:rsidR="00BF1647">
        <w:t>nt</w:t>
      </w:r>
      <w:r>
        <w:t xml:space="preserve"> que tous les </w:t>
      </w:r>
      <w:r w:rsidRPr="00AC103A">
        <w:t xml:space="preserve">cas de dispense doivent être expressément prévus dans l’acte </w:t>
      </w:r>
      <w:r>
        <w:t xml:space="preserve">juridique instituant les </w:t>
      </w:r>
      <w:r w:rsidRPr="00AC103A">
        <w:t xml:space="preserve">garanties </w:t>
      </w:r>
      <w:r w:rsidR="00CA3779">
        <w:t xml:space="preserve">-en général DUE- </w:t>
      </w:r>
      <w:r w:rsidRPr="00AC103A">
        <w:t>(selon les cas, acte initial et/ou avenant) et relèvent du libre choix du salarié,</w:t>
      </w:r>
      <w:r>
        <w:t xml:space="preserve"> </w:t>
      </w:r>
      <w:r w:rsidRPr="00AC103A">
        <w:t>exprimé dans le cadre d’une demande explicite et justifiée.</w:t>
      </w:r>
      <w:r w:rsidR="00C64C5F">
        <w:t xml:space="preserve"> </w:t>
      </w:r>
      <w:r w:rsidRPr="00AC103A">
        <w:t>A ce titre</w:t>
      </w:r>
      <w:r w:rsidR="00BF1647">
        <w:t>,</w:t>
      </w:r>
      <w:r w:rsidRPr="00AC103A">
        <w:t xml:space="preserve"> le décret du 8 juillet 2014 renforce l’information des salariés sur les</w:t>
      </w:r>
      <w:r>
        <w:t xml:space="preserve"> </w:t>
      </w:r>
      <w:r w:rsidRPr="00AC103A">
        <w:t>conséquences des dispenses dont ils peuvent se prévaloir en exigeant que la</w:t>
      </w:r>
      <w:r>
        <w:t xml:space="preserve"> </w:t>
      </w:r>
      <w:r w:rsidRPr="00AC103A">
        <w:t>demande du salarié mentionne expressément qu’il a préalablement été informé des</w:t>
      </w:r>
      <w:r>
        <w:t xml:space="preserve"> </w:t>
      </w:r>
      <w:r w:rsidRPr="00AC103A">
        <w:t>conséquences de son choix.</w:t>
      </w:r>
      <w:r w:rsidR="00C64C5F">
        <w:t xml:space="preserve"> </w:t>
      </w:r>
      <w:r w:rsidRPr="00AC103A">
        <w:t>Cependant, lors</w:t>
      </w:r>
      <w:r w:rsidR="00CF00EF">
        <w:t>que</w:t>
      </w:r>
      <w:r w:rsidRPr="00AC103A">
        <w:t xml:space="preserve"> l’affiliation des ayants-droits du salarié est obligatoire, la faculté de dispense d’adhésion est d’ordre public</w:t>
      </w:r>
      <w:r>
        <w:rPr>
          <w:rStyle w:val="Appelnotedebasdep"/>
        </w:rPr>
        <w:footnoteReference w:id="5"/>
      </w:r>
      <w:r w:rsidRPr="00AC103A">
        <w:t xml:space="preserve"> </w:t>
      </w:r>
      <w:r w:rsidR="00CF00EF">
        <w:t>et donc, ne doit pas nécessairement figurer dans l’acte juridique instituant le régime.</w:t>
      </w:r>
    </w:p>
    <w:p w:rsidR="00CF00EF" w:rsidRDefault="00CF00EF" w:rsidP="00E05913">
      <w:pPr>
        <w:autoSpaceDE w:val="0"/>
        <w:autoSpaceDN w:val="0"/>
        <w:adjustRightInd w:val="0"/>
        <w:spacing w:after="0" w:line="240" w:lineRule="auto"/>
      </w:pPr>
    </w:p>
    <w:p w:rsidR="00CA3779" w:rsidRDefault="00E05913" w:rsidP="00E05913">
      <w:pPr>
        <w:autoSpaceDE w:val="0"/>
        <w:autoSpaceDN w:val="0"/>
        <w:adjustRightInd w:val="0"/>
        <w:spacing w:after="0" w:line="240" w:lineRule="auto"/>
      </w:pPr>
      <w:r w:rsidRPr="00AC103A">
        <w:t>Cette dispense de plein droit des ayant droits ne remet en cause ni le caractère obligatoire du régime concerné, ni les avantages attachés au financement patronal.</w:t>
      </w:r>
      <w:r w:rsidR="00C64C5F">
        <w:t xml:space="preserve"> </w:t>
      </w:r>
      <w:r w:rsidR="00CA3779">
        <w:t>Le conjoint d’un dirigeant n’a donc aucune obligation d’adhérer à la complémentaire santé collective de son entreprise s’il est déjà couvert par le dirigeant.</w:t>
      </w:r>
    </w:p>
    <w:p w:rsidR="00E05913" w:rsidRDefault="00E05913" w:rsidP="00E05913">
      <w:pPr>
        <w:autoSpaceDE w:val="0"/>
        <w:autoSpaceDN w:val="0"/>
        <w:adjustRightInd w:val="0"/>
        <w:spacing w:after="0" w:line="240" w:lineRule="auto"/>
      </w:pPr>
    </w:p>
    <w:p w:rsidR="00E05913" w:rsidRPr="00CF00EF" w:rsidRDefault="00E05913" w:rsidP="00E05913">
      <w:pPr>
        <w:autoSpaceDE w:val="0"/>
        <w:autoSpaceDN w:val="0"/>
        <w:adjustRightInd w:val="0"/>
        <w:spacing w:after="0" w:line="240" w:lineRule="auto"/>
        <w:rPr>
          <w:b/>
        </w:rPr>
      </w:pPr>
      <w:r w:rsidRPr="00CF00EF">
        <w:rPr>
          <w:b/>
        </w:rPr>
        <w:t xml:space="preserve">Si le conjoint salarié décide de souscrire la complémentaire santé collective de l’entreprise, quelle est la répartition optimale de la cotisation ? </w:t>
      </w:r>
    </w:p>
    <w:p w:rsidR="00E05913" w:rsidRDefault="00E05913" w:rsidP="00E05913">
      <w:pPr>
        <w:autoSpaceDE w:val="0"/>
        <w:autoSpaceDN w:val="0"/>
        <w:adjustRightInd w:val="0"/>
        <w:spacing w:after="0" w:line="240" w:lineRule="auto"/>
      </w:pPr>
    </w:p>
    <w:p w:rsidR="0058714B" w:rsidRPr="0058714B" w:rsidRDefault="0058714B" w:rsidP="00E05913">
      <w:pPr>
        <w:autoSpaceDE w:val="0"/>
        <w:autoSpaceDN w:val="0"/>
        <w:adjustRightInd w:val="0"/>
        <w:spacing w:after="0" w:line="240" w:lineRule="auto"/>
        <w:rPr>
          <w:b/>
        </w:rPr>
      </w:pPr>
      <w:r w:rsidRPr="0058714B">
        <w:rPr>
          <w:b/>
        </w:rPr>
        <w:t>En cas de pluralité de salariés…</w:t>
      </w:r>
    </w:p>
    <w:p w:rsidR="00C64C5F" w:rsidRDefault="00C64C5F" w:rsidP="00E05913">
      <w:pPr>
        <w:autoSpaceDE w:val="0"/>
        <w:autoSpaceDN w:val="0"/>
        <w:adjustRightInd w:val="0"/>
        <w:spacing w:after="0" w:line="240" w:lineRule="auto"/>
      </w:pPr>
    </w:p>
    <w:p w:rsidR="00874407" w:rsidRDefault="00E05913" w:rsidP="00E05913">
      <w:pPr>
        <w:autoSpaceDE w:val="0"/>
        <w:autoSpaceDN w:val="0"/>
        <w:adjustRightInd w:val="0"/>
        <w:spacing w:after="0" w:line="240" w:lineRule="auto"/>
      </w:pPr>
      <w:r>
        <w:t xml:space="preserve">Dans le cas d’une société ayant plusieurs salariés ou si le conjoint n’est pas le seul cotisant dans un collège, le financement </w:t>
      </w:r>
      <w:r w:rsidR="00CF00EF">
        <w:t>sera identique pour tous les bénéficiaires du dit régime et</w:t>
      </w:r>
      <w:r>
        <w:t xml:space="preserve"> en général</w:t>
      </w:r>
      <w:r w:rsidR="00CF00EF">
        <w:t>, la cotisation est</w:t>
      </w:r>
      <w:r>
        <w:t xml:space="preserve"> </w:t>
      </w:r>
      <w:r w:rsidR="0058714B">
        <w:t>répartie</w:t>
      </w:r>
      <w:r>
        <w:t xml:space="preserve"> à 50% part employe</w:t>
      </w:r>
      <w:r w:rsidR="00CF00EF">
        <w:t>u</w:t>
      </w:r>
      <w:r>
        <w:t xml:space="preserve">r et 50% en part </w:t>
      </w:r>
    </w:p>
    <w:p w:rsidR="00CA3779" w:rsidRDefault="00E05913" w:rsidP="00E05913">
      <w:pPr>
        <w:autoSpaceDE w:val="0"/>
        <w:autoSpaceDN w:val="0"/>
        <w:adjustRightInd w:val="0"/>
        <w:spacing w:after="0" w:line="240" w:lineRule="auto"/>
      </w:pPr>
      <w:proofErr w:type="gramStart"/>
      <w:r>
        <w:lastRenderedPageBreak/>
        <w:t>salarié</w:t>
      </w:r>
      <w:proofErr w:type="gramEnd"/>
      <w:r>
        <w:t>.</w:t>
      </w:r>
      <w:r w:rsidR="00C64C5F">
        <w:t xml:space="preserve">  </w:t>
      </w:r>
      <w:r w:rsidR="00CA3779">
        <w:t xml:space="preserve">Une </w:t>
      </w:r>
      <w:r w:rsidR="007C55B9">
        <w:t>participation</w:t>
      </w:r>
      <w:r w:rsidR="00CA3779">
        <w:t xml:space="preserve"> plus élevé</w:t>
      </w:r>
      <w:r w:rsidR="007C55B9">
        <w:t>e</w:t>
      </w:r>
      <w:r w:rsidR="00CA3779">
        <w:t xml:space="preserve"> pour le salarié est désormais interdite (maximum de 50% à sa charge) et une participation plus élevée de l’employeur, bien que possible, entrainera une hausse du revenu imposable des salariés et donc, ne sera pas nécessairement perçu comme un plus au regard d’une cotisation à 50/50.</w:t>
      </w:r>
    </w:p>
    <w:p w:rsidR="0058714B" w:rsidRDefault="0058714B" w:rsidP="00E05913">
      <w:pPr>
        <w:autoSpaceDE w:val="0"/>
        <w:autoSpaceDN w:val="0"/>
        <w:adjustRightInd w:val="0"/>
        <w:spacing w:after="0" w:line="240" w:lineRule="auto"/>
      </w:pPr>
    </w:p>
    <w:p w:rsidR="0058714B" w:rsidRPr="0058714B" w:rsidRDefault="0058714B" w:rsidP="00E05913">
      <w:pPr>
        <w:autoSpaceDE w:val="0"/>
        <w:autoSpaceDN w:val="0"/>
        <w:adjustRightInd w:val="0"/>
        <w:spacing w:after="0" w:line="240" w:lineRule="auto"/>
        <w:rPr>
          <w:b/>
        </w:rPr>
      </w:pPr>
      <w:r w:rsidRPr="0058714B">
        <w:rPr>
          <w:b/>
        </w:rPr>
        <w:t>En présence d’un seul salarié….</w:t>
      </w:r>
    </w:p>
    <w:p w:rsidR="00E05913" w:rsidRDefault="00E05913" w:rsidP="00E05913">
      <w:pPr>
        <w:autoSpaceDE w:val="0"/>
        <w:autoSpaceDN w:val="0"/>
        <w:adjustRightInd w:val="0"/>
        <w:spacing w:after="0" w:line="240" w:lineRule="auto"/>
      </w:pPr>
    </w:p>
    <w:p w:rsidR="004F5097" w:rsidRDefault="00CF00EF" w:rsidP="00E05913">
      <w:pPr>
        <w:autoSpaceDE w:val="0"/>
        <w:autoSpaceDN w:val="0"/>
        <w:adjustRightInd w:val="0"/>
        <w:spacing w:after="0" w:line="240" w:lineRule="auto"/>
      </w:pPr>
      <w:r>
        <w:t>D</w:t>
      </w:r>
      <w:r w:rsidR="00E05913">
        <w:t>ans le cas d</w:t>
      </w:r>
      <w:r w:rsidR="0087642C">
        <w:t>’une TPE avec un unique salarié qui est</w:t>
      </w:r>
      <w:r w:rsidR="00E05913">
        <w:t xml:space="preserve"> le conjoint, la tentation est grande de faire financer à 100%</w:t>
      </w:r>
      <w:r w:rsidR="00C64C5F">
        <w:t xml:space="preserve"> la cotisation par l’entreprise, l</w:t>
      </w:r>
      <w:r w:rsidR="0058714B">
        <w:t xml:space="preserve">e chef d’entreprise essayant de maximiser le </w:t>
      </w:r>
      <w:r w:rsidR="00C64C5F">
        <w:t>ratio</w:t>
      </w:r>
      <w:r w:rsidR="0058714B">
        <w:t xml:space="preserve"> </w:t>
      </w:r>
      <w:r w:rsidR="00CA3779">
        <w:t>« </w:t>
      </w:r>
      <w:r w:rsidR="0058714B">
        <w:t>revenu immédiat / coût entreprise</w:t>
      </w:r>
      <w:r w:rsidR="00CA3779">
        <w:t> »</w:t>
      </w:r>
      <w:r w:rsidR="00C64C5F">
        <w:t xml:space="preserve">. </w:t>
      </w:r>
      <w:r>
        <w:t xml:space="preserve">Dans </w:t>
      </w:r>
      <w:r w:rsidR="004F5097">
        <w:t>le cas suivant, nous avons traité le cas d’un conjoint salar</w:t>
      </w:r>
      <w:r w:rsidR="00C64C5F">
        <w:t>ié ayant un salaire brut de 20 000 euros</w:t>
      </w:r>
      <w:r w:rsidR="004F5097">
        <w:t xml:space="preserve"> et un taux moyen d’imposition à 30% et une mutuelle s</w:t>
      </w:r>
      <w:r w:rsidR="00C64C5F">
        <w:t>anté dont le coût est de 2 400 euros</w:t>
      </w:r>
      <w:r w:rsidR="004F5097">
        <w:t xml:space="preserve"> / an.</w:t>
      </w:r>
    </w:p>
    <w:p w:rsidR="004F5097" w:rsidRDefault="004F5097" w:rsidP="00E05913">
      <w:pPr>
        <w:autoSpaceDE w:val="0"/>
        <w:autoSpaceDN w:val="0"/>
        <w:adjustRightInd w:val="0"/>
        <w:spacing w:after="0" w:line="240" w:lineRule="auto"/>
      </w:pPr>
    </w:p>
    <w:p w:rsidR="00874407" w:rsidRPr="00874407" w:rsidRDefault="00874407" w:rsidP="00E05913">
      <w:pPr>
        <w:autoSpaceDE w:val="0"/>
        <w:autoSpaceDN w:val="0"/>
        <w:adjustRightInd w:val="0"/>
        <w:spacing w:after="0" w:line="240" w:lineRule="auto"/>
        <w:rPr>
          <w:b/>
          <w:color w:val="FF0000"/>
        </w:rPr>
      </w:pPr>
      <w:r w:rsidRPr="00874407">
        <w:rPr>
          <w:b/>
          <w:color w:val="FF0000"/>
        </w:rPr>
        <w:t>TABLEAU 1</w:t>
      </w:r>
    </w:p>
    <w:p w:rsidR="00874407" w:rsidRDefault="00874407" w:rsidP="00E05913">
      <w:pPr>
        <w:autoSpaceDE w:val="0"/>
        <w:autoSpaceDN w:val="0"/>
        <w:adjustRightInd w:val="0"/>
        <w:spacing w:after="0" w:line="240" w:lineRule="auto"/>
      </w:pPr>
    </w:p>
    <w:tbl>
      <w:tblPr>
        <w:tblW w:w="7740" w:type="dxa"/>
        <w:tblCellMar>
          <w:left w:w="70" w:type="dxa"/>
          <w:right w:w="70" w:type="dxa"/>
        </w:tblCellMar>
        <w:tblLook w:val="04A0" w:firstRow="1" w:lastRow="0" w:firstColumn="1" w:lastColumn="0" w:noHBand="0" w:noVBand="1"/>
      </w:tblPr>
      <w:tblGrid>
        <w:gridCol w:w="2660"/>
        <w:gridCol w:w="860"/>
        <w:gridCol w:w="1772"/>
        <w:gridCol w:w="676"/>
        <w:gridCol w:w="1772"/>
      </w:tblGrid>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sz w:val="16"/>
                <w:szCs w:val="16"/>
                <w:lang w:eastAsia="fr-FR"/>
              </w:rPr>
            </w:pPr>
          </w:p>
        </w:tc>
        <w:tc>
          <w:tcPr>
            <w:tcW w:w="5080" w:type="dxa"/>
            <w:gridSpan w:val="4"/>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center"/>
              <w:rPr>
                <w:rFonts w:cs="Calibri"/>
                <w:b/>
                <w:color w:val="000000"/>
                <w:sz w:val="16"/>
                <w:szCs w:val="16"/>
                <w:lang w:eastAsia="fr-FR"/>
              </w:rPr>
            </w:pPr>
            <w:r w:rsidRPr="005A6681">
              <w:rPr>
                <w:rFonts w:cs="Calibri"/>
                <w:b/>
                <w:color w:val="000000"/>
                <w:sz w:val="16"/>
                <w:szCs w:val="16"/>
                <w:lang w:eastAsia="fr-FR"/>
              </w:rPr>
              <w:t>Mutuelle à la charge du salarié</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center"/>
              <w:rPr>
                <w:rFonts w:cs="Calibri"/>
                <w:color w:val="000000"/>
                <w:sz w:val="16"/>
                <w:szCs w:val="16"/>
                <w:lang w:eastAsia="fr-FR"/>
              </w:rPr>
            </w:pP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sz w:val="16"/>
                <w:szCs w:val="16"/>
                <w:lang w:eastAsia="fr-FR"/>
              </w:rPr>
            </w:pP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sz w:val="16"/>
                <w:szCs w:val="16"/>
                <w:lang w:eastAsia="fr-FR"/>
              </w:rPr>
            </w:pP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Cout entreprise</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30 800,00 €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30 800,00 €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Mutuelle santé</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100%</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2 400,00 €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50%</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1 200,00 €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CSPO</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42%</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8 400,00 €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42%</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8 754,93 €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Salaire brut</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20 000,00 €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20 845,07 €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CSS</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12%</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2 400,00 €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12%</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2 501,41 €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Mutuelle santé</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0%</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0,00 €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50%</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1 200,00 €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CSG /CRDS</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8%</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1 792,00 €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8%</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1 763,61 €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Salaire net</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15 808,00 €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15 380,06 €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CSG /CRDS non déductible</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649,60 €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639,31 €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Revenu imposable</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18 857,60 €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17 219,36 €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Revenu net imposable</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16 971,84 €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15 497,43 €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IR</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30%</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5 091,55 €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30%</w:t>
            </w: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4 649,23 €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Revenu Immédiat</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10 716,45 €</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10 730,83 €</w:t>
            </w:r>
          </w:p>
        </w:tc>
      </w:tr>
      <w:tr w:rsidR="004F5097" w:rsidRPr="005A6681" w:rsidTr="004F5097">
        <w:trPr>
          <w:trHeight w:val="290"/>
        </w:trPr>
        <w:tc>
          <w:tcPr>
            <w:tcW w:w="26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r w:rsidRPr="005A6681">
              <w:rPr>
                <w:rFonts w:cs="Calibri"/>
                <w:color w:val="000000"/>
                <w:sz w:val="16"/>
                <w:szCs w:val="16"/>
                <w:lang w:eastAsia="fr-FR"/>
              </w:rPr>
              <w:t>Efficacité</w:t>
            </w:r>
          </w:p>
        </w:tc>
        <w:tc>
          <w:tcPr>
            <w:tcW w:w="860"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lef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34,794%</w:t>
            </w:r>
          </w:p>
        </w:tc>
        <w:tc>
          <w:tcPr>
            <w:tcW w:w="676"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p>
        </w:tc>
        <w:tc>
          <w:tcPr>
            <w:tcW w:w="1772" w:type="dxa"/>
            <w:tcBorders>
              <w:top w:val="nil"/>
              <w:left w:val="nil"/>
              <w:bottom w:val="nil"/>
              <w:right w:val="nil"/>
            </w:tcBorders>
            <w:shd w:val="clear" w:color="auto" w:fill="auto"/>
            <w:noWrap/>
            <w:vAlign w:val="bottom"/>
            <w:hideMark/>
          </w:tcPr>
          <w:p w:rsidR="004F5097" w:rsidRPr="005A6681" w:rsidRDefault="004F5097" w:rsidP="004F5097">
            <w:pPr>
              <w:spacing w:after="0" w:line="240" w:lineRule="auto"/>
              <w:jc w:val="right"/>
              <w:rPr>
                <w:rFonts w:cs="Calibri"/>
                <w:color w:val="000000"/>
                <w:sz w:val="16"/>
                <w:szCs w:val="16"/>
                <w:lang w:eastAsia="fr-FR"/>
              </w:rPr>
            </w:pPr>
            <w:r w:rsidRPr="005A6681">
              <w:rPr>
                <w:rFonts w:cs="Calibri"/>
                <w:color w:val="000000"/>
                <w:sz w:val="16"/>
                <w:szCs w:val="16"/>
                <w:lang w:eastAsia="fr-FR"/>
              </w:rPr>
              <w:t>34,840%</w:t>
            </w:r>
          </w:p>
        </w:tc>
      </w:tr>
    </w:tbl>
    <w:p w:rsidR="00E05913" w:rsidRDefault="00E05913" w:rsidP="00E05913">
      <w:pPr>
        <w:autoSpaceDE w:val="0"/>
        <w:autoSpaceDN w:val="0"/>
        <w:adjustRightInd w:val="0"/>
        <w:spacing w:after="0" w:line="240" w:lineRule="auto"/>
      </w:pPr>
    </w:p>
    <w:p w:rsidR="00E05913" w:rsidRPr="00AC103A" w:rsidRDefault="004F5097" w:rsidP="00E05913">
      <w:pPr>
        <w:autoSpaceDE w:val="0"/>
        <w:autoSpaceDN w:val="0"/>
        <w:adjustRightInd w:val="0"/>
        <w:spacing w:after="0" w:line="240" w:lineRule="auto"/>
      </w:pPr>
      <w:r w:rsidRPr="0058714B">
        <w:rPr>
          <w:b/>
        </w:rPr>
        <w:t>Un résultat inattendu</w:t>
      </w:r>
      <w:r>
        <w:t xml:space="preserve"> : Dans l’exemple ci-dessus, on constate un meilleur taux d’efficacité </w:t>
      </w:r>
      <w:r w:rsidR="002B5E2E">
        <w:t>(</w:t>
      </w:r>
      <w:r>
        <w:t>rémunération immédiate</w:t>
      </w:r>
      <w:r w:rsidR="008D5BC1">
        <w:t>/coût entreprise</w:t>
      </w:r>
      <w:r w:rsidR="002B5E2E">
        <w:t>)</w:t>
      </w:r>
      <w:r w:rsidR="008D5BC1">
        <w:t xml:space="preserve"> en</w:t>
      </w:r>
      <w:r>
        <w:t xml:space="preserve"> opérant un financement à 50/50 de la complémentaire santé.</w:t>
      </w:r>
      <w:r w:rsidR="00A75324">
        <w:t xml:space="preserve"> La fiscalisation de la part patronale de la complémentaire santé est venue perturber les calculs communément admis.</w:t>
      </w:r>
    </w:p>
    <w:p w:rsidR="00E05913" w:rsidRPr="00ED2A57" w:rsidRDefault="00E05913" w:rsidP="00E05913">
      <w:pPr>
        <w:spacing w:after="0" w:line="240" w:lineRule="auto"/>
      </w:pPr>
    </w:p>
    <w:p w:rsidR="004C71ED" w:rsidRPr="00CA3779" w:rsidRDefault="004C71ED" w:rsidP="00514899">
      <w:pPr>
        <w:spacing w:after="0" w:line="240" w:lineRule="auto"/>
        <w:rPr>
          <w:b/>
        </w:rPr>
      </w:pPr>
      <w:r w:rsidRPr="00CA3779">
        <w:rPr>
          <w:b/>
        </w:rPr>
        <w:t>Mutuelle Madelin ou mutuelle collective salarié ?</w:t>
      </w:r>
    </w:p>
    <w:p w:rsidR="00A75324" w:rsidRDefault="00A75324" w:rsidP="00514899">
      <w:pPr>
        <w:spacing w:after="0" w:line="240" w:lineRule="auto"/>
      </w:pPr>
    </w:p>
    <w:p w:rsidR="00A75324" w:rsidRDefault="004C71ED" w:rsidP="00514899">
      <w:pPr>
        <w:spacing w:after="0" w:line="240" w:lineRule="auto"/>
      </w:pPr>
      <w:r>
        <w:t>Dans certain</w:t>
      </w:r>
      <w:r w:rsidR="00A75324">
        <w:t>e</w:t>
      </w:r>
      <w:r>
        <w:t xml:space="preserve">s petites entreprises, où le conjoint est l’unique salarié ou l’unique cadre de l’entreprise, la question est de savoir qui du dirigeant ou du conjoint </w:t>
      </w:r>
      <w:r w:rsidR="00A75324">
        <w:t xml:space="preserve">salarié </w:t>
      </w:r>
      <w:r>
        <w:t>doit cotiser à la complémentaire santé.</w:t>
      </w:r>
      <w:r w:rsidR="004258B3">
        <w:t xml:space="preserve"> </w:t>
      </w:r>
      <w:r w:rsidR="00A75324">
        <w:t>En effet, la fiscalisation de la part patronale de la comp</w:t>
      </w:r>
      <w:r w:rsidR="006D7EA4">
        <w:t xml:space="preserve">lémentaire santé collective est souvent mise </w:t>
      </w:r>
      <w:r w:rsidR="008D5BC1">
        <w:t xml:space="preserve">à mal par la </w:t>
      </w:r>
      <w:r w:rsidR="006D7EA4">
        <w:t xml:space="preserve">déductibilité fiscale à 100% </w:t>
      </w:r>
      <w:r w:rsidR="002B5E2E">
        <w:t>de la cotisation Madelin santé.</w:t>
      </w:r>
    </w:p>
    <w:p w:rsidR="002B5E2E" w:rsidRDefault="002B5E2E" w:rsidP="00514899">
      <w:pPr>
        <w:spacing w:after="0" w:line="240" w:lineRule="auto"/>
      </w:pPr>
    </w:p>
    <w:p w:rsidR="006D7EA4" w:rsidRDefault="002B5E2E" w:rsidP="00514899">
      <w:pPr>
        <w:spacing w:after="0" w:line="240" w:lineRule="auto"/>
      </w:pPr>
      <w:r>
        <w:lastRenderedPageBreak/>
        <w:t>Avant que la part patronale de la complémentaire santé collective ne soit fiscalisé</w:t>
      </w:r>
      <w:r w:rsidR="000E1A22">
        <w:t>e</w:t>
      </w:r>
      <w:r>
        <w:t>, les courtiers en assurance et les experts-comptables préconisaient au conjoint salarié de souscrire la complémentaire santé en lieu et place du gérant majoritaire.</w:t>
      </w:r>
      <w:r w:rsidR="004258B3">
        <w:t xml:space="preserve"> </w:t>
      </w:r>
      <w:r w:rsidR="006D7EA4">
        <w:t xml:space="preserve">Dans l’exemple ci-après, nous avons considéré que le gérant majoritaire finançait la complémentaire santé de la famille au travers d’une loi Madelin, que cette couverture coûtait 12% plus cher </w:t>
      </w:r>
      <w:r w:rsidR="008D5BC1">
        <w:t>à garanties équivalente</w:t>
      </w:r>
      <w:r>
        <w:t>s</w:t>
      </w:r>
      <w:r w:rsidR="006D7EA4">
        <w:t xml:space="preserve"> </w:t>
      </w:r>
      <w:r w:rsidR="008D5BC1">
        <w:t xml:space="preserve">que </w:t>
      </w:r>
      <w:r w:rsidR="006D7EA4">
        <w:t>le contrat collectif</w:t>
      </w:r>
      <w:r w:rsidR="008D5BC1">
        <w:t xml:space="preserve"> soit 2 688 €</w:t>
      </w:r>
      <w:r>
        <w:t>/an</w:t>
      </w:r>
      <w:r w:rsidR="006D7EA4">
        <w:t>.</w:t>
      </w:r>
    </w:p>
    <w:p w:rsidR="008D5BC1" w:rsidRDefault="008D5BC1" w:rsidP="00514899">
      <w:pPr>
        <w:spacing w:after="0" w:line="240" w:lineRule="auto"/>
      </w:pPr>
    </w:p>
    <w:p w:rsidR="00874407" w:rsidRPr="00874407" w:rsidRDefault="00874407" w:rsidP="00514899">
      <w:pPr>
        <w:spacing w:after="0" w:line="240" w:lineRule="auto"/>
        <w:rPr>
          <w:b/>
          <w:color w:val="FF0000"/>
        </w:rPr>
      </w:pPr>
      <w:r w:rsidRPr="00874407">
        <w:rPr>
          <w:b/>
          <w:color w:val="FF0000"/>
        </w:rPr>
        <w:t>TABLEAU 2</w:t>
      </w:r>
    </w:p>
    <w:p w:rsidR="00874407" w:rsidRDefault="00874407" w:rsidP="00514899">
      <w:pPr>
        <w:spacing w:after="0" w:line="240" w:lineRule="auto"/>
      </w:pPr>
    </w:p>
    <w:p w:rsidR="006D7EA4" w:rsidRPr="008D5BC1" w:rsidRDefault="008D5BC1" w:rsidP="008D5BC1">
      <w:pPr>
        <w:spacing w:after="0" w:line="240" w:lineRule="auto"/>
        <w:jc w:val="center"/>
        <w:rPr>
          <w:b/>
        </w:rPr>
      </w:pPr>
      <w:r w:rsidRPr="008D5BC1">
        <w:rPr>
          <w:b/>
        </w:rPr>
        <w:t>Salarié sans complémentaire santé</w:t>
      </w:r>
    </w:p>
    <w:tbl>
      <w:tblPr>
        <w:tblW w:w="6960" w:type="dxa"/>
        <w:tblCellMar>
          <w:left w:w="70" w:type="dxa"/>
          <w:right w:w="70" w:type="dxa"/>
        </w:tblCellMar>
        <w:tblLook w:val="04A0" w:firstRow="1" w:lastRow="0" w:firstColumn="1" w:lastColumn="0" w:noHBand="0" w:noVBand="1"/>
      </w:tblPr>
      <w:tblGrid>
        <w:gridCol w:w="2660"/>
        <w:gridCol w:w="280"/>
        <w:gridCol w:w="1110"/>
        <w:gridCol w:w="2910"/>
      </w:tblGrid>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8"/>
                <w:szCs w:val="18"/>
                <w:lang w:eastAsia="fr-FR"/>
              </w:rPr>
            </w:pP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center"/>
              <w:rPr>
                <w:rFonts w:cs="Calibri"/>
                <w:color w:val="000000"/>
                <w:sz w:val="18"/>
                <w:szCs w:val="18"/>
                <w:lang w:eastAsia="fr-FR"/>
              </w:rPr>
            </w:pPr>
          </w:p>
        </w:tc>
        <w:tc>
          <w:tcPr>
            <w:tcW w:w="4020" w:type="dxa"/>
            <w:gridSpan w:val="2"/>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Mutuelle à la charge du gérant majoritaire</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Cout entreprise Salarié</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8"/>
                <w:szCs w:val="18"/>
                <w:lang w:eastAsia="fr-FR"/>
              </w:rPr>
            </w:pP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28 400,00 €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Mutuelle santé</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8D5BC1"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0</w:t>
            </w: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CSPO</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42%</w:t>
            </w: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8 400,00 €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Salaire brut</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8"/>
                <w:szCs w:val="18"/>
                <w:lang w:eastAsia="fr-FR"/>
              </w:rPr>
            </w:pP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20 000,00 €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CSS</w:t>
            </w:r>
            <w:r w:rsidR="00D136AA" w:rsidRPr="000E1A22">
              <w:rPr>
                <w:rFonts w:cs="Calibri"/>
                <w:color w:val="000000"/>
                <w:sz w:val="18"/>
                <w:szCs w:val="18"/>
                <w:lang w:eastAsia="fr-FR"/>
              </w:rPr>
              <w:t>O</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12%</w:t>
            </w: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2 400,00 €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Mutuelle santé</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8D5BC1" w:rsidRPr="000E1A22" w:rsidRDefault="008D5BC1" w:rsidP="008D5BC1">
            <w:pPr>
              <w:spacing w:after="0" w:line="240" w:lineRule="auto"/>
              <w:jc w:val="right"/>
              <w:rPr>
                <w:rFonts w:cs="Calibri"/>
                <w:color w:val="000000"/>
                <w:sz w:val="18"/>
                <w:szCs w:val="18"/>
                <w:lang w:eastAsia="fr-FR"/>
              </w:rPr>
            </w:pPr>
            <w:r w:rsidRPr="000E1A22">
              <w:rPr>
                <w:rFonts w:cs="Calibri"/>
                <w:color w:val="000000"/>
                <w:sz w:val="18"/>
                <w:szCs w:val="18"/>
                <w:lang w:eastAsia="fr-FR"/>
              </w:rPr>
              <w:t>0</w:t>
            </w: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CSG /CRDS</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8%</w:t>
            </w: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1 600,00 €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Salaire net</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8"/>
                <w:szCs w:val="18"/>
                <w:lang w:eastAsia="fr-FR"/>
              </w:rPr>
            </w:pP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16 000,00 €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CSG /CRDS non déductible</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8"/>
                <w:szCs w:val="18"/>
                <w:lang w:eastAsia="fr-FR"/>
              </w:rPr>
            </w:pP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580,00 €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Revenu imposable</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8"/>
                <w:szCs w:val="18"/>
                <w:lang w:eastAsia="fr-FR"/>
              </w:rPr>
            </w:pP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16 580,00 €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Revenu net imposable</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8"/>
                <w:szCs w:val="18"/>
                <w:lang w:eastAsia="fr-FR"/>
              </w:rPr>
            </w:pP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14 922,00 €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IR</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30%</w:t>
            </w: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4 476,60 €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Revenu Immédiat</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8"/>
                <w:szCs w:val="18"/>
                <w:lang w:eastAsia="fr-FR"/>
              </w:rPr>
            </w:pP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11 523,40 €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8"/>
                <w:szCs w:val="18"/>
                <w:lang w:eastAsia="fr-FR"/>
              </w:rPr>
            </w:pPr>
            <w:r w:rsidRPr="000E1A22">
              <w:rPr>
                <w:rFonts w:cs="Calibri"/>
                <w:color w:val="000000"/>
                <w:sz w:val="18"/>
                <w:szCs w:val="18"/>
                <w:lang w:eastAsia="fr-FR"/>
              </w:rPr>
              <w:t>Efficacité</w:t>
            </w:r>
          </w:p>
        </w:tc>
        <w:tc>
          <w:tcPr>
            <w:tcW w:w="28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p>
        </w:tc>
        <w:tc>
          <w:tcPr>
            <w:tcW w:w="11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8"/>
                <w:szCs w:val="18"/>
                <w:lang w:eastAsia="fr-FR"/>
              </w:rPr>
            </w:pPr>
          </w:p>
        </w:tc>
        <w:tc>
          <w:tcPr>
            <w:tcW w:w="291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8"/>
                <w:szCs w:val="18"/>
                <w:lang w:eastAsia="fr-FR"/>
              </w:rPr>
            </w:pPr>
            <w:r w:rsidRPr="000E1A22">
              <w:rPr>
                <w:rFonts w:cs="Calibri"/>
                <w:color w:val="000000"/>
                <w:sz w:val="18"/>
                <w:szCs w:val="18"/>
                <w:lang w:eastAsia="fr-FR"/>
              </w:rPr>
              <w:t>40,575%</w:t>
            </w:r>
          </w:p>
        </w:tc>
      </w:tr>
    </w:tbl>
    <w:p w:rsidR="006D7EA4" w:rsidRPr="000E1A22" w:rsidRDefault="00D136AA" w:rsidP="00514899">
      <w:pPr>
        <w:spacing w:after="0" w:line="240" w:lineRule="auto"/>
        <w:rPr>
          <w:sz w:val="18"/>
          <w:szCs w:val="18"/>
        </w:rPr>
      </w:pPr>
      <w:r w:rsidRPr="000E1A22">
        <w:rPr>
          <w:sz w:val="18"/>
          <w:szCs w:val="18"/>
        </w:rPr>
        <w:t>CSPO : charges sociales patronales obligatoires</w:t>
      </w:r>
    </w:p>
    <w:p w:rsidR="00D136AA" w:rsidRPr="000E1A22" w:rsidRDefault="00D136AA" w:rsidP="00514899">
      <w:pPr>
        <w:spacing w:after="0" w:line="240" w:lineRule="auto"/>
        <w:rPr>
          <w:sz w:val="18"/>
          <w:szCs w:val="18"/>
        </w:rPr>
      </w:pPr>
      <w:r w:rsidRPr="000E1A22">
        <w:rPr>
          <w:sz w:val="18"/>
          <w:szCs w:val="18"/>
        </w:rPr>
        <w:t>CSSO : Charges sociales salariales obligatoires</w:t>
      </w:r>
    </w:p>
    <w:p w:rsidR="00D136AA" w:rsidRPr="00874407" w:rsidRDefault="00D136AA" w:rsidP="00514899">
      <w:pPr>
        <w:spacing w:after="0" w:line="240" w:lineRule="auto"/>
        <w:rPr>
          <w:b/>
          <w:color w:val="FF0000"/>
          <w:sz w:val="18"/>
          <w:szCs w:val="18"/>
        </w:rPr>
      </w:pPr>
      <w:r w:rsidRPr="000E1A22">
        <w:rPr>
          <w:sz w:val="18"/>
          <w:szCs w:val="18"/>
        </w:rPr>
        <w:t>IR : impôt sur le revenu</w:t>
      </w:r>
    </w:p>
    <w:p w:rsidR="00D136AA" w:rsidRPr="00874407" w:rsidRDefault="00D136AA" w:rsidP="00514899">
      <w:pPr>
        <w:spacing w:after="0" w:line="240" w:lineRule="auto"/>
        <w:rPr>
          <w:b/>
          <w:color w:val="FF0000"/>
        </w:rPr>
      </w:pPr>
    </w:p>
    <w:p w:rsidR="000E1A22" w:rsidRPr="00874407" w:rsidRDefault="000E1A22" w:rsidP="00514899">
      <w:pPr>
        <w:spacing w:after="0" w:line="240" w:lineRule="auto"/>
        <w:rPr>
          <w:b/>
          <w:color w:val="FF0000"/>
        </w:rPr>
      </w:pPr>
    </w:p>
    <w:p w:rsidR="00874407" w:rsidRPr="00874407" w:rsidRDefault="00874407" w:rsidP="00514899">
      <w:pPr>
        <w:spacing w:after="0" w:line="240" w:lineRule="auto"/>
        <w:rPr>
          <w:b/>
          <w:color w:val="FF0000"/>
        </w:rPr>
      </w:pPr>
      <w:r w:rsidRPr="00874407">
        <w:rPr>
          <w:b/>
          <w:color w:val="FF0000"/>
        </w:rPr>
        <w:t>TABLEAU 3</w:t>
      </w:r>
    </w:p>
    <w:p w:rsidR="000E1A22" w:rsidRDefault="000E1A22" w:rsidP="00514899">
      <w:pPr>
        <w:spacing w:after="0" w:line="240" w:lineRule="auto"/>
      </w:pPr>
    </w:p>
    <w:p w:rsidR="008D5BC1" w:rsidRDefault="008D5BC1" w:rsidP="008D5BC1">
      <w:pPr>
        <w:spacing w:after="0" w:line="240" w:lineRule="auto"/>
        <w:jc w:val="center"/>
      </w:pPr>
      <w:r>
        <w:rPr>
          <w:b/>
        </w:rPr>
        <w:t xml:space="preserve">Gérant Majoritaire finançant </w:t>
      </w:r>
      <w:r w:rsidRPr="008D5BC1">
        <w:rPr>
          <w:b/>
        </w:rPr>
        <w:t>la complémentaire santé</w:t>
      </w:r>
    </w:p>
    <w:tbl>
      <w:tblPr>
        <w:tblW w:w="6680" w:type="dxa"/>
        <w:tblCellMar>
          <w:left w:w="70" w:type="dxa"/>
          <w:right w:w="70" w:type="dxa"/>
        </w:tblCellMar>
        <w:tblLook w:val="04A0" w:firstRow="1" w:lastRow="0" w:firstColumn="1" w:lastColumn="0" w:noHBand="0" w:noVBand="1"/>
      </w:tblPr>
      <w:tblGrid>
        <w:gridCol w:w="2660"/>
        <w:gridCol w:w="1200"/>
        <w:gridCol w:w="2820"/>
      </w:tblGrid>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Cout entreprise</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center"/>
              <w:rPr>
                <w:sz w:val="16"/>
                <w:szCs w:val="16"/>
                <w:lang w:eastAsia="fr-FR"/>
              </w:rPr>
            </w:pP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140 302,61 €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CSG/CRDS</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8%</w:t>
            </w: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10 679,55 €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TMCS CSO</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30,00%</w:t>
            </w: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30 806,40 €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Santé Madelin</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2 688,00 €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Revenu net</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6"/>
                <w:szCs w:val="16"/>
                <w:lang w:eastAsia="fr-FR"/>
              </w:rPr>
            </w:pP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96 128,66 €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CSG/CRDS non déductible</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2,90%</w:t>
            </w: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3 871,34 €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Revenu Brut imposable</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6"/>
                <w:szCs w:val="16"/>
                <w:lang w:eastAsia="fr-FR"/>
              </w:rPr>
            </w:pP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b/>
                <w:color w:val="000000"/>
                <w:sz w:val="16"/>
                <w:szCs w:val="16"/>
                <w:lang w:eastAsia="fr-FR"/>
              </w:rPr>
            </w:pPr>
            <w:r w:rsidRPr="000E1A22">
              <w:rPr>
                <w:rFonts w:cs="Calibri"/>
                <w:b/>
                <w:color w:val="000000"/>
                <w:sz w:val="16"/>
                <w:szCs w:val="16"/>
                <w:lang w:eastAsia="fr-FR"/>
              </w:rPr>
              <w:t>100 000,00 €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Revenu Net imposable</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6"/>
                <w:szCs w:val="16"/>
                <w:lang w:eastAsia="fr-FR"/>
              </w:rPr>
            </w:pP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90 000,00 €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IR</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30%</w:t>
            </w: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27 000,00 €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NIP</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6"/>
                <w:szCs w:val="16"/>
                <w:lang w:eastAsia="fr-FR"/>
              </w:rPr>
            </w:pP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69 128,66 €</w:t>
            </w:r>
          </w:p>
        </w:tc>
      </w:tr>
      <w:tr w:rsidR="006D7EA4" w:rsidRPr="000E1A22" w:rsidTr="006D7EA4">
        <w:trPr>
          <w:trHeight w:val="290"/>
        </w:trPr>
        <w:tc>
          <w:tcPr>
            <w:tcW w:w="266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rFonts w:cs="Calibri"/>
                <w:color w:val="000000"/>
                <w:sz w:val="16"/>
                <w:szCs w:val="16"/>
                <w:lang w:eastAsia="fr-FR"/>
              </w:rPr>
            </w:pPr>
            <w:r w:rsidRPr="000E1A22">
              <w:rPr>
                <w:rFonts w:cs="Calibri"/>
                <w:color w:val="000000"/>
                <w:sz w:val="16"/>
                <w:szCs w:val="16"/>
                <w:lang w:eastAsia="fr-FR"/>
              </w:rPr>
              <w:t>Efficacité</w:t>
            </w:r>
          </w:p>
        </w:tc>
        <w:tc>
          <w:tcPr>
            <w:tcW w:w="120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left"/>
              <w:rPr>
                <w:sz w:val="16"/>
                <w:szCs w:val="16"/>
                <w:lang w:eastAsia="fr-FR"/>
              </w:rPr>
            </w:pPr>
          </w:p>
        </w:tc>
        <w:tc>
          <w:tcPr>
            <w:tcW w:w="2820" w:type="dxa"/>
            <w:tcBorders>
              <w:top w:val="nil"/>
              <w:left w:val="nil"/>
              <w:bottom w:val="nil"/>
              <w:right w:val="nil"/>
            </w:tcBorders>
            <w:shd w:val="clear" w:color="auto" w:fill="auto"/>
            <w:noWrap/>
            <w:vAlign w:val="bottom"/>
            <w:hideMark/>
          </w:tcPr>
          <w:p w:rsidR="006D7EA4" w:rsidRPr="000E1A22" w:rsidRDefault="006D7EA4" w:rsidP="006D7EA4">
            <w:pPr>
              <w:spacing w:after="0" w:line="240" w:lineRule="auto"/>
              <w:jc w:val="right"/>
              <w:rPr>
                <w:rFonts w:cs="Calibri"/>
                <w:color w:val="000000"/>
                <w:sz w:val="16"/>
                <w:szCs w:val="16"/>
                <w:lang w:eastAsia="fr-FR"/>
              </w:rPr>
            </w:pPr>
            <w:r w:rsidRPr="000E1A22">
              <w:rPr>
                <w:rFonts w:cs="Calibri"/>
                <w:color w:val="000000"/>
                <w:sz w:val="16"/>
                <w:szCs w:val="16"/>
                <w:lang w:eastAsia="fr-FR"/>
              </w:rPr>
              <w:t>49,27%</w:t>
            </w:r>
          </w:p>
        </w:tc>
      </w:tr>
    </w:tbl>
    <w:p w:rsidR="00A75324" w:rsidRDefault="00A75324" w:rsidP="00514899">
      <w:pPr>
        <w:spacing w:after="0" w:line="240" w:lineRule="auto"/>
      </w:pPr>
    </w:p>
    <w:p w:rsidR="006D7EA4" w:rsidRDefault="006D7EA4" w:rsidP="00514899">
      <w:pPr>
        <w:spacing w:after="0" w:line="240" w:lineRule="auto"/>
      </w:pPr>
    </w:p>
    <w:p w:rsidR="006D7EA4" w:rsidRDefault="006D7EA4" w:rsidP="00514899">
      <w:pPr>
        <w:spacing w:after="0" w:line="240" w:lineRule="auto"/>
      </w:pPr>
      <w:r>
        <w:lastRenderedPageBreak/>
        <w:t xml:space="preserve">Si le gérant n’avait pas pris la complémentaire santé, son revenu immédiat aurait augmenté de </w:t>
      </w:r>
      <w:r w:rsidR="008D5BC1">
        <w:t xml:space="preserve">1 962 € </w:t>
      </w:r>
      <w:r w:rsidR="00776259">
        <w:t>à coût entreprise équivalent.</w:t>
      </w:r>
    </w:p>
    <w:p w:rsidR="008D5BC1" w:rsidRDefault="008D5BC1" w:rsidP="00514899">
      <w:pPr>
        <w:spacing w:after="0" w:line="240" w:lineRule="auto"/>
      </w:pPr>
    </w:p>
    <w:tbl>
      <w:tblPr>
        <w:tblW w:w="6080" w:type="dxa"/>
        <w:tblCellMar>
          <w:left w:w="70" w:type="dxa"/>
          <w:right w:w="70" w:type="dxa"/>
        </w:tblCellMar>
        <w:tblLook w:val="04A0" w:firstRow="1" w:lastRow="0" w:firstColumn="1" w:lastColumn="0" w:noHBand="0" w:noVBand="1"/>
      </w:tblPr>
      <w:tblGrid>
        <w:gridCol w:w="2660"/>
        <w:gridCol w:w="1400"/>
        <w:gridCol w:w="2020"/>
      </w:tblGrid>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874407" w:rsidRPr="00874407" w:rsidRDefault="00874407" w:rsidP="00776259">
            <w:pPr>
              <w:spacing w:after="0" w:line="240" w:lineRule="auto"/>
              <w:jc w:val="left"/>
              <w:rPr>
                <w:rFonts w:cs="Calibri"/>
                <w:b/>
                <w:color w:val="FF0000"/>
                <w:sz w:val="22"/>
                <w:lang w:eastAsia="fr-FR"/>
              </w:rPr>
            </w:pPr>
            <w:r w:rsidRPr="00874407">
              <w:rPr>
                <w:rFonts w:cs="Calibri"/>
                <w:b/>
                <w:color w:val="FF0000"/>
                <w:sz w:val="22"/>
                <w:lang w:eastAsia="fr-FR"/>
              </w:rPr>
              <w:t>TABLEAU 4</w:t>
            </w:r>
          </w:p>
          <w:p w:rsidR="00874407" w:rsidRDefault="00874407" w:rsidP="00776259">
            <w:pPr>
              <w:spacing w:after="0" w:line="240" w:lineRule="auto"/>
              <w:jc w:val="left"/>
              <w:rPr>
                <w:rFonts w:cs="Calibri"/>
                <w:color w:val="000000"/>
                <w:sz w:val="22"/>
                <w:lang w:eastAsia="fr-FR"/>
              </w:rPr>
            </w:pPr>
          </w:p>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Cout entreprise</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140 302,61 €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CSG/CRDS</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8%</w:t>
            </w: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10 679,55 €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TMCS CSO</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30,00%</w:t>
            </w: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30 806,40 €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Santé Madelin</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0,00 €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Revenu net</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98 816,66 €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CSG/CRDS non déductible</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2,90%</w:t>
            </w: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3 871,34 €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Revenu Brut imposable</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102 688,00 €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Revenu Net imposable</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92 419,20 €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IR</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30%</w:t>
            </w: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27 725,76 €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NIP</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71 090,90 €</w:t>
            </w:r>
          </w:p>
        </w:tc>
      </w:tr>
      <w:tr w:rsidR="00776259" w:rsidRPr="000E1A22" w:rsidTr="00776259">
        <w:trPr>
          <w:trHeight w:val="290"/>
        </w:trPr>
        <w:tc>
          <w:tcPr>
            <w:tcW w:w="266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r w:rsidRPr="000E1A22">
              <w:rPr>
                <w:rFonts w:cs="Calibri"/>
                <w:color w:val="000000"/>
                <w:sz w:val="22"/>
                <w:lang w:eastAsia="fr-FR"/>
              </w:rPr>
              <w:t>Efficacité</w:t>
            </w:r>
          </w:p>
        </w:tc>
        <w:tc>
          <w:tcPr>
            <w:tcW w:w="140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left"/>
              <w:rPr>
                <w:rFonts w:cs="Calibri"/>
                <w:color w:val="000000"/>
                <w:sz w:val="22"/>
                <w:lang w:eastAsia="fr-FR"/>
              </w:rPr>
            </w:pPr>
          </w:p>
        </w:tc>
        <w:tc>
          <w:tcPr>
            <w:tcW w:w="2020" w:type="dxa"/>
            <w:tcBorders>
              <w:top w:val="nil"/>
              <w:left w:val="nil"/>
              <w:bottom w:val="nil"/>
              <w:right w:val="nil"/>
            </w:tcBorders>
            <w:shd w:val="clear" w:color="auto" w:fill="auto"/>
            <w:noWrap/>
            <w:vAlign w:val="bottom"/>
            <w:hideMark/>
          </w:tcPr>
          <w:p w:rsidR="00776259" w:rsidRPr="000E1A22" w:rsidRDefault="00776259" w:rsidP="00776259">
            <w:pPr>
              <w:spacing w:after="0" w:line="240" w:lineRule="auto"/>
              <w:jc w:val="right"/>
              <w:rPr>
                <w:rFonts w:cs="Calibri"/>
                <w:color w:val="000000"/>
                <w:sz w:val="22"/>
                <w:lang w:eastAsia="fr-FR"/>
              </w:rPr>
            </w:pPr>
            <w:r w:rsidRPr="000E1A22">
              <w:rPr>
                <w:rFonts w:cs="Calibri"/>
                <w:color w:val="000000"/>
                <w:sz w:val="22"/>
                <w:lang w:eastAsia="fr-FR"/>
              </w:rPr>
              <w:t>50,67%</w:t>
            </w:r>
          </w:p>
        </w:tc>
      </w:tr>
    </w:tbl>
    <w:p w:rsidR="006D7EA4" w:rsidRDefault="006D7EA4" w:rsidP="00514899">
      <w:pPr>
        <w:spacing w:after="0" w:line="240" w:lineRule="auto"/>
      </w:pPr>
    </w:p>
    <w:p w:rsidR="00874407" w:rsidRDefault="00874407" w:rsidP="00514899">
      <w:pPr>
        <w:spacing w:after="0" w:line="240" w:lineRule="auto"/>
      </w:pPr>
    </w:p>
    <w:p w:rsidR="00776259" w:rsidRDefault="00776259" w:rsidP="00514899">
      <w:pPr>
        <w:spacing w:after="0" w:line="240" w:lineRule="auto"/>
      </w:pPr>
      <w:r>
        <w:t>En cumulant les deux statuts, à dépense identique pour l’entreprise….</w:t>
      </w:r>
      <w:r w:rsidR="00D136AA">
        <w:t xml:space="preserve"> </w:t>
      </w:r>
    </w:p>
    <w:p w:rsidR="00D136AA" w:rsidRPr="00874407" w:rsidRDefault="00D136AA" w:rsidP="00514899">
      <w:pPr>
        <w:spacing w:after="0" w:line="240" w:lineRule="auto"/>
        <w:rPr>
          <w:b/>
          <w:color w:val="FF0000"/>
        </w:rPr>
      </w:pPr>
    </w:p>
    <w:p w:rsidR="00874407" w:rsidRPr="00874407" w:rsidRDefault="00874407" w:rsidP="00514899">
      <w:pPr>
        <w:spacing w:after="0" w:line="240" w:lineRule="auto"/>
        <w:rPr>
          <w:b/>
          <w:color w:val="FF0000"/>
        </w:rPr>
      </w:pPr>
      <w:r w:rsidRPr="00874407">
        <w:rPr>
          <w:b/>
          <w:color w:val="FF0000"/>
        </w:rPr>
        <w:t>TABLEAU 5</w:t>
      </w:r>
    </w:p>
    <w:p w:rsidR="00874407" w:rsidRDefault="00874407" w:rsidP="00514899">
      <w:pPr>
        <w:spacing w:after="0" w:line="240" w:lineRule="auto"/>
      </w:pPr>
    </w:p>
    <w:tbl>
      <w:tblPr>
        <w:tblStyle w:val="Grilledutableau"/>
        <w:tblW w:w="0" w:type="auto"/>
        <w:tblLook w:val="04A0" w:firstRow="1" w:lastRow="0" w:firstColumn="1" w:lastColumn="0" w:noHBand="0" w:noVBand="1"/>
      </w:tblPr>
      <w:tblGrid>
        <w:gridCol w:w="3020"/>
        <w:gridCol w:w="3021"/>
        <w:gridCol w:w="3021"/>
      </w:tblGrid>
      <w:tr w:rsidR="00776259" w:rsidTr="00776259">
        <w:tc>
          <w:tcPr>
            <w:tcW w:w="3020" w:type="dxa"/>
          </w:tcPr>
          <w:p w:rsidR="00776259" w:rsidRDefault="00776259" w:rsidP="00514899">
            <w:pPr>
              <w:spacing w:after="0" w:line="240" w:lineRule="auto"/>
            </w:pPr>
          </w:p>
        </w:tc>
        <w:tc>
          <w:tcPr>
            <w:tcW w:w="3021" w:type="dxa"/>
          </w:tcPr>
          <w:p w:rsidR="00776259" w:rsidRDefault="00776259" w:rsidP="00776259">
            <w:pPr>
              <w:spacing w:after="0" w:line="240" w:lineRule="auto"/>
              <w:jc w:val="center"/>
            </w:pPr>
            <w:r>
              <w:t>Mutuelle salarié</w:t>
            </w:r>
          </w:p>
        </w:tc>
        <w:tc>
          <w:tcPr>
            <w:tcW w:w="3021" w:type="dxa"/>
          </w:tcPr>
          <w:p w:rsidR="00776259" w:rsidRDefault="00776259" w:rsidP="00776259">
            <w:pPr>
              <w:spacing w:after="0" w:line="240" w:lineRule="auto"/>
              <w:jc w:val="center"/>
            </w:pPr>
            <w:r>
              <w:t>Mutuelle gérant majoritaire</w:t>
            </w:r>
          </w:p>
        </w:tc>
      </w:tr>
      <w:tr w:rsidR="00776259" w:rsidTr="00776259">
        <w:tc>
          <w:tcPr>
            <w:tcW w:w="3020" w:type="dxa"/>
          </w:tcPr>
          <w:p w:rsidR="00776259" w:rsidRDefault="00776259" w:rsidP="00514899">
            <w:pPr>
              <w:spacing w:after="0" w:line="240" w:lineRule="auto"/>
            </w:pPr>
            <w:r>
              <w:t>Coût entreprise total</w:t>
            </w:r>
          </w:p>
        </w:tc>
        <w:tc>
          <w:tcPr>
            <w:tcW w:w="3021" w:type="dxa"/>
          </w:tcPr>
          <w:p w:rsidR="00776259" w:rsidRDefault="00776259" w:rsidP="00776259">
            <w:pPr>
              <w:spacing w:after="0" w:line="240" w:lineRule="auto"/>
              <w:jc w:val="center"/>
            </w:pPr>
            <w:r>
              <w:t>171 103 €</w:t>
            </w:r>
          </w:p>
        </w:tc>
        <w:tc>
          <w:tcPr>
            <w:tcW w:w="3021" w:type="dxa"/>
          </w:tcPr>
          <w:p w:rsidR="00776259" w:rsidRDefault="00776259" w:rsidP="00776259">
            <w:pPr>
              <w:spacing w:after="0" w:line="240" w:lineRule="auto"/>
              <w:jc w:val="center"/>
            </w:pPr>
            <w:r>
              <w:t>171 103 €</w:t>
            </w:r>
          </w:p>
        </w:tc>
      </w:tr>
      <w:tr w:rsidR="00776259" w:rsidTr="00776259">
        <w:tc>
          <w:tcPr>
            <w:tcW w:w="3020" w:type="dxa"/>
          </w:tcPr>
          <w:p w:rsidR="00776259" w:rsidRDefault="00776259" w:rsidP="00514899">
            <w:pPr>
              <w:spacing w:after="0" w:line="240" w:lineRule="auto"/>
            </w:pPr>
            <w:r>
              <w:t>Revenu immédiat</w:t>
            </w:r>
          </w:p>
        </w:tc>
        <w:tc>
          <w:tcPr>
            <w:tcW w:w="3021" w:type="dxa"/>
          </w:tcPr>
          <w:p w:rsidR="00776259" w:rsidRDefault="00776259" w:rsidP="00776259">
            <w:pPr>
              <w:spacing w:after="0" w:line="240" w:lineRule="auto"/>
              <w:jc w:val="center"/>
            </w:pPr>
            <w:r>
              <w:t>81 822 €</w:t>
            </w:r>
          </w:p>
        </w:tc>
        <w:tc>
          <w:tcPr>
            <w:tcW w:w="3021" w:type="dxa"/>
          </w:tcPr>
          <w:p w:rsidR="00776259" w:rsidRDefault="00776259" w:rsidP="00776259">
            <w:pPr>
              <w:spacing w:after="0" w:line="240" w:lineRule="auto"/>
              <w:jc w:val="center"/>
            </w:pPr>
            <w:r>
              <w:t>81 868 €</w:t>
            </w:r>
          </w:p>
        </w:tc>
      </w:tr>
      <w:tr w:rsidR="00776259" w:rsidTr="00776259">
        <w:tc>
          <w:tcPr>
            <w:tcW w:w="3020" w:type="dxa"/>
          </w:tcPr>
          <w:p w:rsidR="00776259" w:rsidRDefault="00776259" w:rsidP="00514899">
            <w:pPr>
              <w:spacing w:after="0" w:line="240" w:lineRule="auto"/>
            </w:pPr>
            <w:r>
              <w:t>Efficacité</w:t>
            </w:r>
          </w:p>
        </w:tc>
        <w:tc>
          <w:tcPr>
            <w:tcW w:w="3021" w:type="dxa"/>
          </w:tcPr>
          <w:p w:rsidR="00776259" w:rsidRDefault="00776259" w:rsidP="00776259">
            <w:pPr>
              <w:spacing w:after="0" w:line="240" w:lineRule="auto"/>
              <w:jc w:val="center"/>
            </w:pPr>
            <w:r>
              <w:t>47,82%</w:t>
            </w:r>
          </w:p>
        </w:tc>
        <w:tc>
          <w:tcPr>
            <w:tcW w:w="3021" w:type="dxa"/>
          </w:tcPr>
          <w:p w:rsidR="00776259" w:rsidRDefault="00776259" w:rsidP="00776259">
            <w:pPr>
              <w:spacing w:after="0" w:line="240" w:lineRule="auto"/>
              <w:jc w:val="center"/>
            </w:pPr>
            <w:r>
              <w:t>47,85%</w:t>
            </w:r>
          </w:p>
        </w:tc>
      </w:tr>
    </w:tbl>
    <w:p w:rsidR="00776259" w:rsidRPr="004258B3" w:rsidRDefault="00776259" w:rsidP="00514899">
      <w:pPr>
        <w:spacing w:after="0" w:line="240" w:lineRule="auto"/>
      </w:pPr>
    </w:p>
    <w:p w:rsidR="00776259" w:rsidRPr="004258B3" w:rsidRDefault="00776259" w:rsidP="00514899">
      <w:pPr>
        <w:spacing w:after="0" w:line="240" w:lineRule="auto"/>
      </w:pPr>
      <w:r w:rsidRPr="004258B3">
        <w:t>Encore ici, un résultat surprenant, il n’y a pas d’écart d’efficacité à souscrire la mutuelle en loi Madelin ou en santé collective.</w:t>
      </w:r>
    </w:p>
    <w:p w:rsidR="002B5E2E" w:rsidRDefault="002B5E2E" w:rsidP="00514899">
      <w:pPr>
        <w:spacing w:after="0" w:line="240" w:lineRule="auto"/>
      </w:pPr>
    </w:p>
    <w:p w:rsidR="002B5E2E" w:rsidRPr="002B5E2E" w:rsidRDefault="00D136AA" w:rsidP="00514899">
      <w:pPr>
        <w:spacing w:after="0" w:line="240" w:lineRule="auto"/>
        <w:rPr>
          <w:b/>
        </w:rPr>
      </w:pPr>
      <w:r>
        <w:rPr>
          <w:b/>
        </w:rPr>
        <w:t>Alors, c</w:t>
      </w:r>
      <w:r w:rsidR="002B5E2E" w:rsidRPr="002B5E2E">
        <w:rPr>
          <w:b/>
        </w:rPr>
        <w:t>omment effectuer le bon choix</w:t>
      </w:r>
      <w:r w:rsidR="004258B3">
        <w:rPr>
          <w:b/>
        </w:rPr>
        <w:t> </w:t>
      </w:r>
      <w:proofErr w:type="gramStart"/>
      <w:r w:rsidR="004258B3">
        <w:rPr>
          <w:b/>
        </w:rPr>
        <w:t>?</w:t>
      </w:r>
      <w:r w:rsidR="002B5E2E" w:rsidRPr="002B5E2E">
        <w:rPr>
          <w:b/>
        </w:rPr>
        <w:t>.</w:t>
      </w:r>
      <w:r w:rsidR="004258B3">
        <w:rPr>
          <w:b/>
        </w:rPr>
        <w:t>.</w:t>
      </w:r>
      <w:proofErr w:type="gramEnd"/>
    </w:p>
    <w:p w:rsidR="00776259" w:rsidRDefault="00776259" w:rsidP="00514899">
      <w:pPr>
        <w:spacing w:after="0" w:line="240" w:lineRule="auto"/>
      </w:pPr>
    </w:p>
    <w:p w:rsidR="00776259" w:rsidRDefault="00776259" w:rsidP="00514899">
      <w:pPr>
        <w:spacing w:after="0" w:line="240" w:lineRule="auto"/>
      </w:pPr>
      <w:r>
        <w:t xml:space="preserve">Le choix doit alors se faire sur les différences </w:t>
      </w:r>
      <w:r w:rsidR="008D5BC1">
        <w:t>existantes</w:t>
      </w:r>
      <w:r>
        <w:t xml:space="preserve"> entre les 2 types de contrat. La liste ci-dessous n’est pas exhaustive….</w:t>
      </w:r>
    </w:p>
    <w:p w:rsidR="002B5E2E" w:rsidRDefault="002B5E2E" w:rsidP="00514899">
      <w:pPr>
        <w:spacing w:after="0" w:line="240" w:lineRule="auto"/>
      </w:pPr>
    </w:p>
    <w:p w:rsidR="002B5E2E" w:rsidRDefault="002B5E2E" w:rsidP="00514899">
      <w:pPr>
        <w:spacing w:after="0" w:line="240" w:lineRule="auto"/>
      </w:pPr>
    </w:p>
    <w:p w:rsidR="002B5E2E" w:rsidRPr="00874407" w:rsidRDefault="00874407" w:rsidP="00514899">
      <w:pPr>
        <w:spacing w:after="0" w:line="240" w:lineRule="auto"/>
        <w:rPr>
          <w:b/>
          <w:color w:val="FF0000"/>
        </w:rPr>
      </w:pPr>
      <w:r w:rsidRPr="00874407">
        <w:rPr>
          <w:b/>
          <w:color w:val="FF0000"/>
        </w:rPr>
        <w:t>TABLEAU 6</w:t>
      </w:r>
    </w:p>
    <w:p w:rsidR="00776259" w:rsidRDefault="00776259" w:rsidP="00514899">
      <w:pPr>
        <w:spacing w:after="0" w:line="240" w:lineRule="auto"/>
      </w:pPr>
    </w:p>
    <w:p w:rsidR="00A75324" w:rsidRPr="00670DAC" w:rsidRDefault="008D5BC1" w:rsidP="00A75324">
      <w:pPr>
        <w:spacing w:after="0" w:line="240" w:lineRule="auto"/>
        <w:jc w:val="center"/>
        <w:rPr>
          <w:b/>
        </w:rPr>
      </w:pPr>
      <w:r w:rsidRPr="00670DAC">
        <w:rPr>
          <w:b/>
        </w:rPr>
        <w:t>Match</w:t>
      </w:r>
      <w:r w:rsidR="00A75324" w:rsidRPr="00670DAC">
        <w:rPr>
          <w:b/>
        </w:rPr>
        <w:t xml:space="preserve"> santé </w:t>
      </w:r>
      <w:r w:rsidR="00670DAC" w:rsidRPr="00670DAC">
        <w:rPr>
          <w:b/>
        </w:rPr>
        <w:t>collective</w:t>
      </w:r>
      <w:r w:rsidR="00A75324" w:rsidRPr="00670DAC">
        <w:rPr>
          <w:b/>
        </w:rPr>
        <w:t xml:space="preserve"> / santé </w:t>
      </w:r>
      <w:r w:rsidRPr="00670DAC">
        <w:rPr>
          <w:b/>
        </w:rPr>
        <w:t>Madelin</w:t>
      </w:r>
    </w:p>
    <w:p w:rsidR="00670DAC" w:rsidRDefault="00670DAC" w:rsidP="00A75324">
      <w:pPr>
        <w:spacing w:after="0" w:line="240" w:lineRule="auto"/>
        <w:jc w:val="center"/>
      </w:pPr>
    </w:p>
    <w:tbl>
      <w:tblPr>
        <w:tblStyle w:val="Grilledutableau"/>
        <w:tblW w:w="0" w:type="auto"/>
        <w:tblLook w:val="04A0" w:firstRow="1" w:lastRow="0" w:firstColumn="1" w:lastColumn="0" w:noHBand="0" w:noVBand="1"/>
      </w:tblPr>
      <w:tblGrid>
        <w:gridCol w:w="2265"/>
        <w:gridCol w:w="2265"/>
        <w:gridCol w:w="2266"/>
        <w:gridCol w:w="2266"/>
      </w:tblGrid>
      <w:tr w:rsidR="00776259" w:rsidTr="00776259">
        <w:tc>
          <w:tcPr>
            <w:tcW w:w="2265" w:type="dxa"/>
          </w:tcPr>
          <w:p w:rsidR="00776259" w:rsidRDefault="00776259" w:rsidP="00776259">
            <w:pPr>
              <w:spacing w:after="0" w:line="240" w:lineRule="auto"/>
            </w:pPr>
          </w:p>
        </w:tc>
        <w:tc>
          <w:tcPr>
            <w:tcW w:w="2265" w:type="dxa"/>
          </w:tcPr>
          <w:p w:rsidR="00776259" w:rsidRDefault="00776259" w:rsidP="00776259">
            <w:pPr>
              <w:spacing w:after="0" w:line="240" w:lineRule="auto"/>
              <w:jc w:val="center"/>
            </w:pPr>
            <w:r>
              <w:t>Santé collective</w:t>
            </w:r>
          </w:p>
        </w:tc>
        <w:tc>
          <w:tcPr>
            <w:tcW w:w="2266" w:type="dxa"/>
          </w:tcPr>
          <w:p w:rsidR="00776259" w:rsidRDefault="00776259" w:rsidP="00776259">
            <w:pPr>
              <w:spacing w:after="0" w:line="240" w:lineRule="auto"/>
              <w:jc w:val="center"/>
            </w:pPr>
            <w:r>
              <w:t>Santé Madelin</w:t>
            </w:r>
          </w:p>
        </w:tc>
        <w:tc>
          <w:tcPr>
            <w:tcW w:w="2266" w:type="dxa"/>
          </w:tcPr>
          <w:p w:rsidR="00776259" w:rsidRDefault="008D5BC1" w:rsidP="00776259">
            <w:pPr>
              <w:spacing w:after="0" w:line="240" w:lineRule="auto"/>
              <w:jc w:val="center"/>
            </w:pPr>
            <w:r>
              <w:t>A</w:t>
            </w:r>
            <w:r w:rsidR="00776259">
              <w:t>vantage</w:t>
            </w:r>
            <w:r>
              <w:t>s</w:t>
            </w:r>
          </w:p>
        </w:tc>
      </w:tr>
      <w:tr w:rsidR="002B5E2E" w:rsidTr="00776259">
        <w:tc>
          <w:tcPr>
            <w:tcW w:w="2265" w:type="dxa"/>
          </w:tcPr>
          <w:p w:rsidR="002B5E2E" w:rsidRDefault="002B5E2E" w:rsidP="00776259">
            <w:pPr>
              <w:spacing w:after="0" w:line="240" w:lineRule="auto"/>
            </w:pPr>
            <w:r>
              <w:t>Garanties</w:t>
            </w:r>
          </w:p>
        </w:tc>
        <w:tc>
          <w:tcPr>
            <w:tcW w:w="2265" w:type="dxa"/>
          </w:tcPr>
          <w:p w:rsidR="002B5E2E" w:rsidRDefault="00D136AA" w:rsidP="00776259">
            <w:pPr>
              <w:spacing w:after="0" w:line="240" w:lineRule="auto"/>
              <w:jc w:val="center"/>
            </w:pPr>
            <w:r>
              <w:t>+</w:t>
            </w:r>
          </w:p>
        </w:tc>
        <w:tc>
          <w:tcPr>
            <w:tcW w:w="2266" w:type="dxa"/>
          </w:tcPr>
          <w:p w:rsidR="002B5E2E" w:rsidRDefault="00D136AA" w:rsidP="00776259">
            <w:pPr>
              <w:spacing w:after="0" w:line="240" w:lineRule="auto"/>
              <w:jc w:val="center"/>
            </w:pPr>
            <w:r>
              <w:t>-</w:t>
            </w:r>
          </w:p>
        </w:tc>
        <w:tc>
          <w:tcPr>
            <w:tcW w:w="2266" w:type="dxa"/>
          </w:tcPr>
          <w:p w:rsidR="002B5E2E" w:rsidRDefault="00D136AA" w:rsidP="00776259">
            <w:pPr>
              <w:spacing w:after="0" w:line="240" w:lineRule="auto"/>
              <w:jc w:val="center"/>
            </w:pPr>
            <w:r>
              <w:t>Collectif</w:t>
            </w:r>
          </w:p>
        </w:tc>
      </w:tr>
      <w:tr w:rsidR="00776259" w:rsidTr="00776259">
        <w:tc>
          <w:tcPr>
            <w:tcW w:w="2265" w:type="dxa"/>
          </w:tcPr>
          <w:p w:rsidR="00776259" w:rsidRDefault="00776259" w:rsidP="00776259">
            <w:pPr>
              <w:spacing w:after="0" w:line="240" w:lineRule="auto"/>
            </w:pPr>
            <w:r>
              <w:lastRenderedPageBreak/>
              <w:t>Tarif</w:t>
            </w:r>
          </w:p>
        </w:tc>
        <w:tc>
          <w:tcPr>
            <w:tcW w:w="2265" w:type="dxa"/>
          </w:tcPr>
          <w:p w:rsidR="00776259" w:rsidRDefault="00776259" w:rsidP="00776259">
            <w:pPr>
              <w:spacing w:after="0" w:line="240" w:lineRule="auto"/>
              <w:jc w:val="center"/>
            </w:pPr>
            <w:r>
              <w:t>+</w:t>
            </w:r>
          </w:p>
        </w:tc>
        <w:tc>
          <w:tcPr>
            <w:tcW w:w="2266" w:type="dxa"/>
          </w:tcPr>
          <w:p w:rsidR="00776259" w:rsidRDefault="00776259" w:rsidP="00776259">
            <w:pPr>
              <w:spacing w:after="0" w:line="240" w:lineRule="auto"/>
              <w:jc w:val="center"/>
            </w:pPr>
            <w:r>
              <w:t>-</w:t>
            </w:r>
          </w:p>
        </w:tc>
        <w:tc>
          <w:tcPr>
            <w:tcW w:w="2266" w:type="dxa"/>
          </w:tcPr>
          <w:p w:rsidR="00776259" w:rsidRDefault="00D136AA" w:rsidP="00776259">
            <w:pPr>
              <w:spacing w:after="0" w:line="240" w:lineRule="auto"/>
              <w:jc w:val="center"/>
            </w:pPr>
            <w:r>
              <w:t>C</w:t>
            </w:r>
            <w:r w:rsidR="00776259">
              <w:t>ollectif</w:t>
            </w:r>
          </w:p>
        </w:tc>
      </w:tr>
      <w:tr w:rsidR="00776259" w:rsidTr="00776259">
        <w:tc>
          <w:tcPr>
            <w:tcW w:w="2265" w:type="dxa"/>
          </w:tcPr>
          <w:p w:rsidR="00776259" w:rsidRDefault="00776259" w:rsidP="00776259">
            <w:pPr>
              <w:spacing w:after="0" w:line="240" w:lineRule="auto"/>
            </w:pPr>
            <w:r>
              <w:t>Evolution tarifaire</w:t>
            </w:r>
          </w:p>
        </w:tc>
        <w:tc>
          <w:tcPr>
            <w:tcW w:w="2265" w:type="dxa"/>
          </w:tcPr>
          <w:p w:rsidR="00776259" w:rsidRDefault="008D5BC1" w:rsidP="00776259">
            <w:pPr>
              <w:spacing w:after="0" w:line="240" w:lineRule="auto"/>
              <w:jc w:val="center"/>
            </w:pPr>
            <w:r>
              <w:t>+</w:t>
            </w:r>
          </w:p>
        </w:tc>
        <w:tc>
          <w:tcPr>
            <w:tcW w:w="2266" w:type="dxa"/>
          </w:tcPr>
          <w:p w:rsidR="00776259" w:rsidRDefault="008D5BC1" w:rsidP="00776259">
            <w:pPr>
              <w:spacing w:after="0" w:line="240" w:lineRule="auto"/>
              <w:jc w:val="center"/>
            </w:pPr>
            <w:r>
              <w:t>-</w:t>
            </w:r>
          </w:p>
        </w:tc>
        <w:tc>
          <w:tcPr>
            <w:tcW w:w="2266" w:type="dxa"/>
          </w:tcPr>
          <w:p w:rsidR="00776259" w:rsidRDefault="00D136AA" w:rsidP="00776259">
            <w:pPr>
              <w:spacing w:after="0" w:line="240" w:lineRule="auto"/>
              <w:jc w:val="center"/>
            </w:pPr>
            <w:r>
              <w:t>C</w:t>
            </w:r>
            <w:r w:rsidR="008D5BC1">
              <w:t>ollectif</w:t>
            </w:r>
          </w:p>
        </w:tc>
      </w:tr>
      <w:tr w:rsidR="00776259" w:rsidTr="00776259">
        <w:tc>
          <w:tcPr>
            <w:tcW w:w="2265" w:type="dxa"/>
          </w:tcPr>
          <w:p w:rsidR="00776259" w:rsidRDefault="00776259" w:rsidP="00776259">
            <w:pPr>
              <w:spacing w:after="0" w:line="240" w:lineRule="auto"/>
            </w:pPr>
            <w:r>
              <w:t>Résiliation assureur</w:t>
            </w:r>
          </w:p>
        </w:tc>
        <w:tc>
          <w:tcPr>
            <w:tcW w:w="2265" w:type="dxa"/>
          </w:tcPr>
          <w:p w:rsidR="00776259" w:rsidRDefault="008D5BC1" w:rsidP="00776259">
            <w:pPr>
              <w:spacing w:after="0" w:line="240" w:lineRule="auto"/>
              <w:jc w:val="center"/>
            </w:pPr>
            <w:r>
              <w:t>Possible chaque année</w:t>
            </w:r>
          </w:p>
        </w:tc>
        <w:tc>
          <w:tcPr>
            <w:tcW w:w="2266" w:type="dxa"/>
          </w:tcPr>
          <w:p w:rsidR="00776259" w:rsidRDefault="008D5BC1" w:rsidP="00776259">
            <w:pPr>
              <w:spacing w:after="0" w:line="240" w:lineRule="auto"/>
              <w:jc w:val="center"/>
            </w:pPr>
            <w:r>
              <w:t>Impossible après 2 ans d’adhésion</w:t>
            </w:r>
          </w:p>
        </w:tc>
        <w:tc>
          <w:tcPr>
            <w:tcW w:w="2266" w:type="dxa"/>
          </w:tcPr>
          <w:p w:rsidR="00776259" w:rsidRDefault="008D5BC1" w:rsidP="00776259">
            <w:pPr>
              <w:spacing w:after="0" w:line="240" w:lineRule="auto"/>
              <w:jc w:val="center"/>
            </w:pPr>
            <w:r>
              <w:t>Madelin</w:t>
            </w:r>
          </w:p>
        </w:tc>
      </w:tr>
      <w:tr w:rsidR="00776259" w:rsidTr="00776259">
        <w:tc>
          <w:tcPr>
            <w:tcW w:w="2265" w:type="dxa"/>
          </w:tcPr>
          <w:p w:rsidR="00776259" w:rsidRDefault="00D136AA" w:rsidP="00776259">
            <w:pPr>
              <w:spacing w:after="0" w:line="240" w:lineRule="auto"/>
            </w:pPr>
            <w:r>
              <w:t>Départ</w:t>
            </w:r>
            <w:r w:rsidR="00776259">
              <w:t xml:space="preserve"> retraite</w:t>
            </w:r>
          </w:p>
        </w:tc>
        <w:tc>
          <w:tcPr>
            <w:tcW w:w="2265" w:type="dxa"/>
          </w:tcPr>
          <w:p w:rsidR="00776259" w:rsidRDefault="008D5BC1" w:rsidP="00776259">
            <w:pPr>
              <w:spacing w:after="0" w:line="240" w:lineRule="auto"/>
              <w:jc w:val="center"/>
            </w:pPr>
            <w:r>
              <w:t>Contrat sortie groupe</w:t>
            </w:r>
          </w:p>
        </w:tc>
        <w:tc>
          <w:tcPr>
            <w:tcW w:w="2266" w:type="dxa"/>
          </w:tcPr>
          <w:p w:rsidR="00776259" w:rsidRDefault="00776259" w:rsidP="00776259">
            <w:pPr>
              <w:spacing w:after="0" w:line="240" w:lineRule="auto"/>
              <w:jc w:val="center"/>
            </w:pPr>
          </w:p>
        </w:tc>
        <w:tc>
          <w:tcPr>
            <w:tcW w:w="2266" w:type="dxa"/>
          </w:tcPr>
          <w:p w:rsidR="00776259" w:rsidRDefault="00D136AA" w:rsidP="00776259">
            <w:pPr>
              <w:spacing w:after="0" w:line="240" w:lineRule="auto"/>
              <w:jc w:val="center"/>
            </w:pPr>
            <w:r>
              <w:t>C</w:t>
            </w:r>
            <w:r w:rsidR="008D5BC1">
              <w:t>ollectif</w:t>
            </w:r>
          </w:p>
        </w:tc>
      </w:tr>
      <w:tr w:rsidR="00776259" w:rsidTr="00776259">
        <w:tc>
          <w:tcPr>
            <w:tcW w:w="2265" w:type="dxa"/>
          </w:tcPr>
          <w:p w:rsidR="00776259" w:rsidRDefault="008D5BC1" w:rsidP="00776259">
            <w:pPr>
              <w:spacing w:after="0" w:line="240" w:lineRule="auto"/>
            </w:pPr>
            <w:r>
              <w:t>Avantage Fiscal</w:t>
            </w:r>
          </w:p>
        </w:tc>
        <w:tc>
          <w:tcPr>
            <w:tcW w:w="2265" w:type="dxa"/>
          </w:tcPr>
          <w:p w:rsidR="00776259" w:rsidRDefault="008D5BC1" w:rsidP="00776259">
            <w:pPr>
              <w:spacing w:after="0" w:line="240" w:lineRule="auto"/>
              <w:jc w:val="center"/>
            </w:pPr>
            <w:r>
              <w:t>-</w:t>
            </w:r>
          </w:p>
        </w:tc>
        <w:tc>
          <w:tcPr>
            <w:tcW w:w="2266" w:type="dxa"/>
          </w:tcPr>
          <w:p w:rsidR="00776259" w:rsidRDefault="008D5BC1" w:rsidP="00776259">
            <w:pPr>
              <w:spacing w:after="0" w:line="240" w:lineRule="auto"/>
              <w:jc w:val="center"/>
            </w:pPr>
            <w:r>
              <w:t>+</w:t>
            </w:r>
          </w:p>
        </w:tc>
        <w:tc>
          <w:tcPr>
            <w:tcW w:w="2266" w:type="dxa"/>
          </w:tcPr>
          <w:p w:rsidR="00776259" w:rsidRDefault="008D5BC1" w:rsidP="00776259">
            <w:pPr>
              <w:spacing w:after="0" w:line="240" w:lineRule="auto"/>
              <w:jc w:val="center"/>
            </w:pPr>
            <w:r>
              <w:t>Madelin</w:t>
            </w:r>
          </w:p>
        </w:tc>
      </w:tr>
      <w:tr w:rsidR="00776259" w:rsidTr="00776259">
        <w:tc>
          <w:tcPr>
            <w:tcW w:w="2265" w:type="dxa"/>
          </w:tcPr>
          <w:p w:rsidR="00776259" w:rsidRDefault="008D5BC1" w:rsidP="00776259">
            <w:pPr>
              <w:spacing w:after="0" w:line="240" w:lineRule="auto"/>
            </w:pPr>
            <w:r>
              <w:t xml:space="preserve">Avantage </w:t>
            </w:r>
            <w:r w:rsidR="00776259">
              <w:t>Social</w:t>
            </w:r>
          </w:p>
        </w:tc>
        <w:tc>
          <w:tcPr>
            <w:tcW w:w="2265" w:type="dxa"/>
          </w:tcPr>
          <w:p w:rsidR="00776259" w:rsidRDefault="008D5BC1" w:rsidP="00776259">
            <w:pPr>
              <w:spacing w:after="0" w:line="240" w:lineRule="auto"/>
              <w:jc w:val="center"/>
            </w:pPr>
            <w:r>
              <w:t>+</w:t>
            </w:r>
          </w:p>
        </w:tc>
        <w:tc>
          <w:tcPr>
            <w:tcW w:w="2266" w:type="dxa"/>
          </w:tcPr>
          <w:p w:rsidR="00776259" w:rsidRDefault="008D5BC1" w:rsidP="00776259">
            <w:pPr>
              <w:spacing w:after="0" w:line="240" w:lineRule="auto"/>
              <w:jc w:val="center"/>
            </w:pPr>
            <w:r>
              <w:t>-</w:t>
            </w:r>
          </w:p>
        </w:tc>
        <w:tc>
          <w:tcPr>
            <w:tcW w:w="2266" w:type="dxa"/>
          </w:tcPr>
          <w:p w:rsidR="00776259" w:rsidRDefault="008D5BC1" w:rsidP="00776259">
            <w:pPr>
              <w:spacing w:after="0" w:line="240" w:lineRule="auto"/>
              <w:jc w:val="center"/>
            </w:pPr>
            <w:r>
              <w:t>collectif</w:t>
            </w:r>
          </w:p>
        </w:tc>
      </w:tr>
    </w:tbl>
    <w:p w:rsidR="00776259" w:rsidRDefault="00776259" w:rsidP="00A75324">
      <w:pPr>
        <w:spacing w:after="0" w:line="240" w:lineRule="auto"/>
        <w:jc w:val="center"/>
      </w:pPr>
    </w:p>
    <w:p w:rsidR="00D136AA" w:rsidRDefault="00D136AA" w:rsidP="00514899">
      <w:pPr>
        <w:spacing w:after="0" w:line="240" w:lineRule="auto"/>
        <w:rPr>
          <w:b/>
        </w:rPr>
      </w:pPr>
      <w:r w:rsidRPr="00D136AA">
        <w:rPr>
          <w:b/>
        </w:rPr>
        <w:t xml:space="preserve">Conclusion </w:t>
      </w:r>
    </w:p>
    <w:p w:rsidR="00670DAC" w:rsidRPr="00D136AA" w:rsidRDefault="00670DAC" w:rsidP="00514899">
      <w:pPr>
        <w:spacing w:after="0" w:line="240" w:lineRule="auto"/>
        <w:rPr>
          <w:b/>
        </w:rPr>
      </w:pPr>
    </w:p>
    <w:p w:rsidR="009213FF" w:rsidRDefault="008D5BC1" w:rsidP="00514899">
      <w:pPr>
        <w:spacing w:after="0" w:line="240" w:lineRule="auto"/>
      </w:pPr>
      <w:r>
        <w:t xml:space="preserve">Le choix du statut du conjoint du chef d’entreprise se révèle beaucoup plus complexe que prévu. </w:t>
      </w:r>
      <w:r w:rsidR="001578A3">
        <w:t>Il doit s’opérer en faisant in</w:t>
      </w:r>
      <w:r w:rsidR="00D136AA">
        <w:t xml:space="preserve">tervenir différents conseils – avocats, experts-comptables, conseils </w:t>
      </w:r>
      <w:proofErr w:type="spellStart"/>
      <w:r w:rsidR="00D136AA">
        <w:t>comp&amp;ben</w:t>
      </w:r>
      <w:proofErr w:type="spellEnd"/>
      <w:r w:rsidR="004258B3">
        <w:t xml:space="preserve"> (</w:t>
      </w:r>
      <w:r w:rsidR="004258B3">
        <w:rPr>
          <w:rStyle w:val="st"/>
        </w:rPr>
        <w:t>fonction de responsable rémunérations et avantages sociaux</w:t>
      </w:r>
      <w:r w:rsidR="004258B3">
        <w:rPr>
          <w:rStyle w:val="st"/>
        </w:rPr>
        <w:t>)</w:t>
      </w:r>
      <w:r w:rsidR="00D136AA">
        <w:t xml:space="preserve"> et assureurs qui doivent travailler en </w:t>
      </w:r>
      <w:r w:rsidR="00670DAC">
        <w:t>inter professionnalité</w:t>
      </w:r>
      <w:r w:rsidR="00D136AA">
        <w:t xml:space="preserve"> afin d’étudier tous les effets collatéraux des options retenues sur la rémunération directe et indirecte du couple.</w:t>
      </w:r>
    </w:p>
    <w:p w:rsidR="00D136AA" w:rsidRDefault="00D136AA" w:rsidP="00514899">
      <w:pPr>
        <w:spacing w:after="0" w:line="240" w:lineRule="auto"/>
      </w:pPr>
    </w:p>
    <w:p w:rsidR="00D136AA" w:rsidRDefault="00D136AA" w:rsidP="00514899">
      <w:pPr>
        <w:spacing w:after="0" w:line="240" w:lineRule="auto"/>
      </w:pPr>
    </w:p>
    <w:p w:rsidR="00D136AA" w:rsidRDefault="00D136AA" w:rsidP="00514899">
      <w:pPr>
        <w:spacing w:after="0" w:line="240" w:lineRule="auto"/>
      </w:pPr>
    </w:p>
    <w:tbl>
      <w:tblPr>
        <w:tblStyle w:val="Grilledutableau"/>
        <w:tblW w:w="0" w:type="auto"/>
        <w:tblLook w:val="04A0" w:firstRow="1" w:lastRow="0" w:firstColumn="1" w:lastColumn="0" w:noHBand="0" w:noVBand="1"/>
      </w:tblPr>
      <w:tblGrid>
        <w:gridCol w:w="4531"/>
        <w:gridCol w:w="4531"/>
      </w:tblGrid>
      <w:tr w:rsidR="00D136AA" w:rsidTr="00D136AA">
        <w:tc>
          <w:tcPr>
            <w:tcW w:w="4531" w:type="dxa"/>
          </w:tcPr>
          <w:p w:rsidR="00D136AA" w:rsidRDefault="00D136AA" w:rsidP="00514899">
            <w:pPr>
              <w:spacing w:after="0" w:line="240" w:lineRule="auto"/>
            </w:pPr>
            <w:r>
              <w:t>Frédéric LOYER</w:t>
            </w:r>
          </w:p>
          <w:p w:rsidR="00D136AA" w:rsidRDefault="00D136AA" w:rsidP="00514899">
            <w:pPr>
              <w:spacing w:after="0" w:line="240" w:lineRule="auto"/>
            </w:pPr>
            <w:r>
              <w:t>Expert Conseil en rémunération</w:t>
            </w:r>
          </w:p>
          <w:p w:rsidR="00D136AA" w:rsidRDefault="00D136AA" w:rsidP="00514899">
            <w:pPr>
              <w:spacing w:after="0" w:line="240" w:lineRule="auto"/>
            </w:pPr>
            <w:r>
              <w:t xml:space="preserve">Associé du cabinet </w:t>
            </w:r>
            <w:proofErr w:type="spellStart"/>
            <w:r>
              <w:t>Ec&amp;Terra</w:t>
            </w:r>
            <w:proofErr w:type="spellEnd"/>
          </w:p>
        </w:tc>
        <w:tc>
          <w:tcPr>
            <w:tcW w:w="4531" w:type="dxa"/>
          </w:tcPr>
          <w:p w:rsidR="00D136AA" w:rsidRDefault="00D136AA" w:rsidP="00514899">
            <w:pPr>
              <w:spacing w:after="0" w:line="240" w:lineRule="auto"/>
            </w:pPr>
            <w:r>
              <w:t>Akim SAIM</w:t>
            </w:r>
          </w:p>
          <w:p w:rsidR="00D136AA" w:rsidRDefault="00D136AA" w:rsidP="00514899">
            <w:pPr>
              <w:spacing w:after="0" w:line="240" w:lineRule="auto"/>
            </w:pPr>
            <w:r>
              <w:t>Expert en protection sociale</w:t>
            </w:r>
          </w:p>
          <w:p w:rsidR="00D136AA" w:rsidRDefault="00D136AA" w:rsidP="00514899">
            <w:pPr>
              <w:spacing w:after="0" w:line="240" w:lineRule="auto"/>
            </w:pPr>
            <w:r>
              <w:t xml:space="preserve">Associé du cabinet </w:t>
            </w:r>
            <w:proofErr w:type="spellStart"/>
            <w:r>
              <w:t>Ec&amp;Terra</w:t>
            </w:r>
            <w:proofErr w:type="spellEnd"/>
          </w:p>
        </w:tc>
      </w:tr>
    </w:tbl>
    <w:p w:rsidR="00D136AA" w:rsidRDefault="00D136AA" w:rsidP="00514899">
      <w:pPr>
        <w:spacing w:after="0" w:line="240" w:lineRule="auto"/>
      </w:pPr>
    </w:p>
    <w:p w:rsidR="00874407" w:rsidRDefault="00874407" w:rsidP="00514899">
      <w:pPr>
        <w:spacing w:after="0" w:line="240" w:lineRule="auto"/>
      </w:pPr>
      <w:bookmarkStart w:id="0" w:name="_GoBack"/>
    </w:p>
    <w:p w:rsidR="00874407" w:rsidRDefault="00874407" w:rsidP="00874407">
      <w:pPr>
        <w:pStyle w:val="Notedebasdepage"/>
      </w:pPr>
      <w:r>
        <w:rPr>
          <w:rStyle w:val="Appelnotedebasdep"/>
        </w:rPr>
        <w:footnoteRef/>
      </w:r>
      <w:r>
        <w:t xml:space="preserve"> Loi 2005-882 du 2 août 2005</w:t>
      </w:r>
    </w:p>
    <w:p w:rsidR="00874407" w:rsidRDefault="00874407" w:rsidP="00874407">
      <w:pPr>
        <w:pStyle w:val="Notedebasdepage"/>
      </w:pPr>
      <w:r>
        <w:rPr>
          <w:rStyle w:val="Appelnotedebasdep"/>
        </w:rPr>
        <w:t>2</w:t>
      </w:r>
      <w:r>
        <w:t>Article L121-4 du code de commerce</w:t>
      </w:r>
    </w:p>
    <w:p w:rsidR="00874407" w:rsidRDefault="00874407" w:rsidP="00874407">
      <w:pPr>
        <w:spacing w:after="0" w:line="240" w:lineRule="auto"/>
      </w:pPr>
      <w:r>
        <w:rPr>
          <w:rStyle w:val="Appelnotedebasdep"/>
        </w:rPr>
        <w:t>3</w:t>
      </w:r>
      <w:r>
        <w:t xml:space="preserve"> </w:t>
      </w:r>
      <w:r w:rsidRPr="00E74D64">
        <w:t>DIRECTIVE N° 2008-13 DU 27 M</w:t>
      </w:r>
      <w:r>
        <w:t>ars</w:t>
      </w:r>
      <w:r w:rsidRPr="00E74D64">
        <w:t xml:space="preserve"> 2008, Direction des Affaires Juridiques</w:t>
      </w:r>
      <w:r>
        <w:t xml:space="preserve"> </w:t>
      </w:r>
      <w:r w:rsidRPr="00E74D64">
        <w:t>INSQ0016</w:t>
      </w:r>
    </w:p>
    <w:p w:rsidR="00874407" w:rsidRDefault="00874407" w:rsidP="00874407">
      <w:pPr>
        <w:pStyle w:val="Notedebasdepage"/>
      </w:pPr>
      <w:r>
        <w:rPr>
          <w:rStyle w:val="Appelnotedebasdep"/>
        </w:rPr>
        <w:t>4</w:t>
      </w:r>
      <w:r>
        <w:t xml:space="preserve"> Article R 242-1-6 du code de la sécurité sociale</w:t>
      </w:r>
    </w:p>
    <w:p w:rsidR="00874407" w:rsidRDefault="00874407" w:rsidP="00874407">
      <w:pPr>
        <w:pStyle w:val="Notedebasdepage"/>
      </w:pPr>
      <w:r>
        <w:rPr>
          <w:rStyle w:val="Appelnotedebasdep"/>
        </w:rPr>
        <w:t xml:space="preserve">5 </w:t>
      </w:r>
      <w:r>
        <w:t>Article D 911-3 du code de la sécurité sociale</w:t>
      </w:r>
    </w:p>
    <w:bookmarkEnd w:id="0"/>
    <w:p w:rsidR="00874407" w:rsidRDefault="00874407" w:rsidP="00874407">
      <w:pPr>
        <w:spacing w:after="0" w:line="240" w:lineRule="auto"/>
      </w:pPr>
    </w:p>
    <w:sectPr w:rsidR="008744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D07" w:rsidRDefault="00985D07" w:rsidP="00ED2A57">
      <w:pPr>
        <w:spacing w:after="0" w:line="240" w:lineRule="auto"/>
      </w:pPr>
      <w:r>
        <w:separator/>
      </w:r>
    </w:p>
  </w:endnote>
  <w:endnote w:type="continuationSeparator" w:id="0">
    <w:p w:rsidR="00985D07" w:rsidRDefault="00985D07" w:rsidP="00ED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00000003" w:usb1="00000000" w:usb2="00003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D07" w:rsidRDefault="00985D07" w:rsidP="00ED2A57">
      <w:pPr>
        <w:spacing w:after="0" w:line="240" w:lineRule="auto"/>
      </w:pPr>
      <w:r>
        <w:separator/>
      </w:r>
    </w:p>
  </w:footnote>
  <w:footnote w:type="continuationSeparator" w:id="0">
    <w:p w:rsidR="00985D07" w:rsidRDefault="00985D07" w:rsidP="00ED2A57">
      <w:pPr>
        <w:spacing w:after="0" w:line="240" w:lineRule="auto"/>
      </w:pPr>
      <w:r>
        <w:continuationSeparator/>
      </w:r>
    </w:p>
  </w:footnote>
  <w:footnote w:id="1">
    <w:p w:rsidR="002B5E2E" w:rsidRDefault="002B5E2E">
      <w:pPr>
        <w:pStyle w:val="Notedebasdepage"/>
      </w:pPr>
      <w:r>
        <w:rPr>
          <w:rStyle w:val="Appelnotedebasdep"/>
        </w:rPr>
        <w:footnoteRef/>
      </w:r>
      <w:r>
        <w:t xml:space="preserve"> Loi 2005-882 du 2 août 2005</w:t>
      </w:r>
    </w:p>
  </w:footnote>
  <w:footnote w:id="2">
    <w:p w:rsidR="002B5E2E" w:rsidRDefault="002B5E2E">
      <w:pPr>
        <w:pStyle w:val="Notedebasdepage"/>
      </w:pPr>
      <w:r>
        <w:rPr>
          <w:rStyle w:val="Appelnotedebasdep"/>
        </w:rPr>
        <w:footnoteRef/>
      </w:r>
      <w:r>
        <w:t xml:space="preserve"> Article L121-4 du code de commerce</w:t>
      </w:r>
    </w:p>
  </w:footnote>
  <w:footnote w:id="3">
    <w:p w:rsidR="002B5E2E" w:rsidRDefault="002B5E2E" w:rsidP="00E74D64">
      <w:pPr>
        <w:pStyle w:val="Notedebasdepage"/>
      </w:pPr>
      <w:r>
        <w:rPr>
          <w:rStyle w:val="Appelnotedebasdep"/>
        </w:rPr>
        <w:footnoteRef/>
      </w:r>
      <w:r>
        <w:t xml:space="preserve"> </w:t>
      </w:r>
      <w:r w:rsidRPr="00E74D64">
        <w:t>DIRECTIVE N° 2008-13 DU 27 M</w:t>
      </w:r>
      <w:r>
        <w:t>ars</w:t>
      </w:r>
      <w:r w:rsidRPr="00E74D64">
        <w:t xml:space="preserve"> 2008, Direction des Affaires Juridiques</w:t>
      </w:r>
      <w:r>
        <w:t xml:space="preserve"> </w:t>
      </w:r>
      <w:r w:rsidRPr="00E74D64">
        <w:t>INSQ0016</w:t>
      </w:r>
    </w:p>
  </w:footnote>
  <w:footnote w:id="4">
    <w:p w:rsidR="002B5E2E" w:rsidRDefault="002B5E2E" w:rsidP="00E05913">
      <w:pPr>
        <w:pStyle w:val="Notedebasdepage"/>
      </w:pPr>
      <w:r>
        <w:rPr>
          <w:rStyle w:val="Appelnotedebasdep"/>
        </w:rPr>
        <w:footnoteRef/>
      </w:r>
      <w:r>
        <w:t xml:space="preserve"> Article R 242-1-6 du code de la sécurité sociale</w:t>
      </w:r>
    </w:p>
  </w:footnote>
  <w:footnote w:id="5">
    <w:p w:rsidR="002B5E2E" w:rsidRDefault="002B5E2E">
      <w:pPr>
        <w:pStyle w:val="Notedebasdepage"/>
      </w:pPr>
      <w:r>
        <w:rPr>
          <w:rStyle w:val="Appelnotedebasdep"/>
        </w:rPr>
        <w:footnoteRef/>
      </w:r>
      <w:r>
        <w:t xml:space="preserve"> Article D 911-3 du code de la sécurité sociale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19AD"/>
    <w:multiLevelType w:val="hybridMultilevel"/>
    <w:tmpl w:val="3B463A30"/>
    <w:lvl w:ilvl="0" w:tplc="A5D099DA">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DE3C6B"/>
    <w:multiLevelType w:val="hybridMultilevel"/>
    <w:tmpl w:val="12884AE8"/>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47E0150C"/>
    <w:multiLevelType w:val="multilevel"/>
    <w:tmpl w:val="5E1E0CFC"/>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0B29E4"/>
    <w:multiLevelType w:val="hybridMultilevel"/>
    <w:tmpl w:val="EEA493DA"/>
    <w:lvl w:ilvl="0" w:tplc="BC0A7F3A">
      <w:start w:val="1"/>
      <w:numFmt w:val="lowerRoman"/>
      <w:lvlText w:val="%1."/>
      <w:lvlJc w:val="right"/>
      <w:pPr>
        <w:ind w:left="433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FF263E"/>
    <w:multiLevelType w:val="hybridMultilevel"/>
    <w:tmpl w:val="9EEA0304"/>
    <w:lvl w:ilvl="0" w:tplc="E8CC7CC4">
      <w:start w:val="1"/>
      <w:numFmt w:val="bullet"/>
      <w:lvlText w:val=""/>
      <w:lvlJc w:val="left"/>
      <w:pPr>
        <w:ind w:left="1644" w:hanging="360"/>
      </w:pPr>
      <w:rPr>
        <w:rFonts w:ascii="Wingdings" w:hAnsi="Wingdings"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5" w15:restartNumberingAfterBreak="0">
    <w:nsid w:val="740B2328"/>
    <w:multiLevelType w:val="multilevel"/>
    <w:tmpl w:val="D6785FF0"/>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C52670"/>
    <w:multiLevelType w:val="hybridMultilevel"/>
    <w:tmpl w:val="9A7272EC"/>
    <w:lvl w:ilvl="0" w:tplc="9A346AB8">
      <w:numFmt w:val="bullet"/>
      <w:lvlText w:val="-"/>
      <w:lvlJc w:val="left"/>
      <w:pPr>
        <w:ind w:left="720" w:hanging="360"/>
      </w:pPr>
      <w:rPr>
        <w:rFonts w:ascii="Gadugi" w:eastAsia="Times New Roman" w:hAnsi="Gadug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CE"/>
    <w:rsid w:val="00077ACE"/>
    <w:rsid w:val="00081FB0"/>
    <w:rsid w:val="000A6680"/>
    <w:rsid w:val="000E1A22"/>
    <w:rsid w:val="001578A3"/>
    <w:rsid w:val="001C1C03"/>
    <w:rsid w:val="00237D7D"/>
    <w:rsid w:val="002B5E2E"/>
    <w:rsid w:val="003030BA"/>
    <w:rsid w:val="00313089"/>
    <w:rsid w:val="00380D83"/>
    <w:rsid w:val="003E4547"/>
    <w:rsid w:val="004258B3"/>
    <w:rsid w:val="0043272C"/>
    <w:rsid w:val="00445AC7"/>
    <w:rsid w:val="004C71ED"/>
    <w:rsid w:val="004F5097"/>
    <w:rsid w:val="00514899"/>
    <w:rsid w:val="0058714B"/>
    <w:rsid w:val="005A6681"/>
    <w:rsid w:val="006559E6"/>
    <w:rsid w:val="00670DAC"/>
    <w:rsid w:val="006D7EA4"/>
    <w:rsid w:val="00776259"/>
    <w:rsid w:val="007B6161"/>
    <w:rsid w:val="007B7C7F"/>
    <w:rsid w:val="007C55B9"/>
    <w:rsid w:val="00874407"/>
    <w:rsid w:val="0087642C"/>
    <w:rsid w:val="00893D8C"/>
    <w:rsid w:val="008A29CC"/>
    <w:rsid w:val="008D5BC1"/>
    <w:rsid w:val="009213FF"/>
    <w:rsid w:val="00985D07"/>
    <w:rsid w:val="00A03176"/>
    <w:rsid w:val="00A75324"/>
    <w:rsid w:val="00A96338"/>
    <w:rsid w:val="00AC103A"/>
    <w:rsid w:val="00B00FEF"/>
    <w:rsid w:val="00B01580"/>
    <w:rsid w:val="00B924CE"/>
    <w:rsid w:val="00BB53C8"/>
    <w:rsid w:val="00BF1647"/>
    <w:rsid w:val="00C64C5F"/>
    <w:rsid w:val="00C82AA0"/>
    <w:rsid w:val="00CA3779"/>
    <w:rsid w:val="00CB62E1"/>
    <w:rsid w:val="00CF00EF"/>
    <w:rsid w:val="00D136AA"/>
    <w:rsid w:val="00DC22BB"/>
    <w:rsid w:val="00E05913"/>
    <w:rsid w:val="00E144D2"/>
    <w:rsid w:val="00E74D64"/>
    <w:rsid w:val="00ED2A57"/>
    <w:rsid w:val="00FC2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DEF1C-10C5-4EA7-A41F-99B59A22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C7F"/>
    <w:pPr>
      <w:spacing w:after="180" w:line="336" w:lineRule="auto"/>
    </w:pPr>
    <w:rPr>
      <w:rFonts w:ascii="Gadugi" w:hAnsi="Gadugi" w:cs="Times New Roman"/>
      <w:sz w:val="24"/>
      <w:lang w:eastAsia="ar-SA"/>
    </w:rPr>
  </w:style>
  <w:style w:type="paragraph" w:styleId="Titre2">
    <w:name w:val="heading 2"/>
    <w:basedOn w:val="Normal"/>
    <w:next w:val="Normal"/>
    <w:link w:val="Titre2Car"/>
    <w:autoRedefine/>
    <w:uiPriority w:val="9"/>
    <w:unhideWhenUsed/>
    <w:qFormat/>
    <w:rsid w:val="003E4547"/>
    <w:pPr>
      <w:keepNext/>
      <w:keepLines/>
      <w:tabs>
        <w:tab w:val="left" w:pos="1134"/>
      </w:tabs>
      <w:spacing w:before="120" w:after="120" w:line="240" w:lineRule="auto"/>
      <w:ind w:left="1491" w:hanging="357"/>
      <w:jc w:val="left"/>
      <w:outlineLvl w:val="1"/>
    </w:pPr>
    <w:rPr>
      <w:rFonts w:eastAsiaTheme="majorEastAsia" w:cstheme="majorBidi"/>
      <w:color w:val="C00000"/>
      <w:sz w:val="28"/>
      <w:szCs w:val="26"/>
      <w:lang w:eastAsia="fr-FR"/>
    </w:rPr>
  </w:style>
  <w:style w:type="paragraph" w:styleId="Titre3">
    <w:name w:val="heading 3"/>
    <w:basedOn w:val="Titre2"/>
    <w:next w:val="Normal"/>
    <w:link w:val="Titre3Car"/>
    <w:uiPriority w:val="9"/>
    <w:qFormat/>
    <w:rsid w:val="00FC2F3D"/>
    <w:pPr>
      <w:keepLines w:val="0"/>
      <w:numPr>
        <w:numId w:val="4"/>
      </w:numPr>
      <w:spacing w:before="0"/>
      <w:ind w:left="244" w:hanging="357"/>
      <w:outlineLvl w:val="2"/>
    </w:pPr>
    <w:rPr>
      <w:rFonts w:eastAsia="Times New Roman" w:cs="Arial"/>
      <w:b/>
      <w:bCs/>
      <w:iCs/>
      <w:color w:val="auto"/>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Paragraphedeliste"/>
    <w:link w:val="Style1Car"/>
    <w:qFormat/>
    <w:rsid w:val="00DC22BB"/>
    <w:pPr>
      <w:numPr>
        <w:numId w:val="2"/>
      </w:numPr>
      <w:autoSpaceDE w:val="0"/>
      <w:autoSpaceDN w:val="0"/>
      <w:adjustRightInd w:val="0"/>
      <w:ind w:left="284" w:hanging="284"/>
    </w:pPr>
    <w:rPr>
      <w:rFonts w:ascii="ArialNarrow" w:hAnsi="ArialNarrow" w:cs="ArialNarrow"/>
      <w:szCs w:val="24"/>
    </w:rPr>
  </w:style>
  <w:style w:type="character" w:customStyle="1" w:styleId="Style1Car">
    <w:name w:val="Style1 Car"/>
    <w:basedOn w:val="Policepardfaut"/>
    <w:link w:val="Style1"/>
    <w:rsid w:val="00DC22BB"/>
    <w:rPr>
      <w:rFonts w:ascii="ArialNarrow" w:hAnsi="ArialNarrow" w:cs="ArialNarrow"/>
      <w:sz w:val="24"/>
      <w:szCs w:val="24"/>
    </w:rPr>
  </w:style>
  <w:style w:type="paragraph" w:styleId="Paragraphedeliste">
    <w:name w:val="List Paragraph"/>
    <w:basedOn w:val="Normal"/>
    <w:uiPriority w:val="34"/>
    <w:qFormat/>
    <w:rsid w:val="00DC22BB"/>
    <w:pPr>
      <w:ind w:left="720"/>
      <w:contextualSpacing/>
    </w:pPr>
  </w:style>
  <w:style w:type="character" w:customStyle="1" w:styleId="Titre3Car">
    <w:name w:val="Titre 3 Car"/>
    <w:basedOn w:val="Policepardfaut"/>
    <w:link w:val="Titre3"/>
    <w:uiPriority w:val="9"/>
    <w:rsid w:val="00FC2F3D"/>
    <w:rPr>
      <w:rFonts w:ascii="Gadugi" w:hAnsi="Gadugi" w:cs="Arial"/>
      <w:b/>
      <w:bCs/>
      <w:iCs/>
      <w:sz w:val="28"/>
      <w:szCs w:val="28"/>
      <w:lang w:eastAsia="ar-SA"/>
    </w:rPr>
  </w:style>
  <w:style w:type="character" w:customStyle="1" w:styleId="Titre2Car">
    <w:name w:val="Titre 2 Car"/>
    <w:basedOn w:val="Policepardfaut"/>
    <w:link w:val="Titre2"/>
    <w:uiPriority w:val="9"/>
    <w:rsid w:val="003E4547"/>
    <w:rPr>
      <w:rFonts w:ascii="Gadugi" w:eastAsiaTheme="majorEastAsia" w:hAnsi="Gadugi" w:cstheme="majorBidi"/>
      <w:color w:val="C00000"/>
      <w:sz w:val="28"/>
      <w:szCs w:val="26"/>
      <w:lang w:eastAsia="fr-FR"/>
    </w:rPr>
  </w:style>
  <w:style w:type="paragraph" w:styleId="Notedebasdepage">
    <w:name w:val="footnote text"/>
    <w:basedOn w:val="Normal"/>
    <w:link w:val="NotedebasdepageCar"/>
    <w:uiPriority w:val="99"/>
    <w:semiHidden/>
    <w:unhideWhenUsed/>
    <w:rsid w:val="00ED2A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2A57"/>
    <w:rPr>
      <w:rFonts w:ascii="Gadugi" w:hAnsi="Gadugi" w:cs="Times New Roman"/>
      <w:sz w:val="20"/>
      <w:szCs w:val="20"/>
      <w:lang w:eastAsia="ar-SA"/>
    </w:rPr>
  </w:style>
  <w:style w:type="character" w:styleId="Appelnotedebasdep">
    <w:name w:val="footnote reference"/>
    <w:basedOn w:val="Policepardfaut"/>
    <w:uiPriority w:val="99"/>
    <w:semiHidden/>
    <w:unhideWhenUsed/>
    <w:rsid w:val="00ED2A57"/>
    <w:rPr>
      <w:vertAlign w:val="superscript"/>
    </w:rPr>
  </w:style>
  <w:style w:type="table" w:styleId="Grilledutableau">
    <w:name w:val="Table Grid"/>
    <w:basedOn w:val="TableauNormal"/>
    <w:uiPriority w:val="39"/>
    <w:rsid w:val="00A7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753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5324"/>
    <w:rPr>
      <w:rFonts w:ascii="Segoe UI" w:hAnsi="Segoe UI" w:cs="Segoe UI"/>
      <w:sz w:val="18"/>
      <w:szCs w:val="18"/>
      <w:lang w:eastAsia="ar-SA"/>
    </w:rPr>
  </w:style>
  <w:style w:type="character" w:customStyle="1" w:styleId="st">
    <w:name w:val="st"/>
    <w:basedOn w:val="Policepardfaut"/>
    <w:rsid w:val="0042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7982">
      <w:bodyDiv w:val="1"/>
      <w:marLeft w:val="0"/>
      <w:marRight w:val="0"/>
      <w:marTop w:val="0"/>
      <w:marBottom w:val="0"/>
      <w:divBdr>
        <w:top w:val="none" w:sz="0" w:space="0" w:color="auto"/>
        <w:left w:val="none" w:sz="0" w:space="0" w:color="auto"/>
        <w:bottom w:val="none" w:sz="0" w:space="0" w:color="auto"/>
        <w:right w:val="none" w:sz="0" w:space="0" w:color="auto"/>
      </w:divBdr>
    </w:div>
    <w:div w:id="139275718">
      <w:bodyDiv w:val="1"/>
      <w:marLeft w:val="0"/>
      <w:marRight w:val="0"/>
      <w:marTop w:val="0"/>
      <w:marBottom w:val="0"/>
      <w:divBdr>
        <w:top w:val="none" w:sz="0" w:space="0" w:color="auto"/>
        <w:left w:val="none" w:sz="0" w:space="0" w:color="auto"/>
        <w:bottom w:val="none" w:sz="0" w:space="0" w:color="auto"/>
        <w:right w:val="none" w:sz="0" w:space="0" w:color="auto"/>
      </w:divBdr>
    </w:div>
    <w:div w:id="949163927">
      <w:bodyDiv w:val="1"/>
      <w:marLeft w:val="0"/>
      <w:marRight w:val="0"/>
      <w:marTop w:val="0"/>
      <w:marBottom w:val="0"/>
      <w:divBdr>
        <w:top w:val="none" w:sz="0" w:space="0" w:color="auto"/>
        <w:left w:val="none" w:sz="0" w:space="0" w:color="auto"/>
        <w:bottom w:val="none" w:sz="0" w:space="0" w:color="auto"/>
        <w:right w:val="none" w:sz="0" w:space="0" w:color="auto"/>
      </w:divBdr>
    </w:div>
    <w:div w:id="1077048955">
      <w:bodyDiv w:val="1"/>
      <w:marLeft w:val="0"/>
      <w:marRight w:val="0"/>
      <w:marTop w:val="0"/>
      <w:marBottom w:val="0"/>
      <w:divBdr>
        <w:top w:val="none" w:sz="0" w:space="0" w:color="auto"/>
        <w:left w:val="none" w:sz="0" w:space="0" w:color="auto"/>
        <w:bottom w:val="none" w:sz="0" w:space="0" w:color="auto"/>
        <w:right w:val="none" w:sz="0" w:space="0" w:color="auto"/>
      </w:divBdr>
    </w:div>
    <w:div w:id="1156148913">
      <w:bodyDiv w:val="1"/>
      <w:marLeft w:val="0"/>
      <w:marRight w:val="0"/>
      <w:marTop w:val="0"/>
      <w:marBottom w:val="0"/>
      <w:divBdr>
        <w:top w:val="none" w:sz="0" w:space="0" w:color="auto"/>
        <w:left w:val="none" w:sz="0" w:space="0" w:color="auto"/>
        <w:bottom w:val="none" w:sz="0" w:space="0" w:color="auto"/>
        <w:right w:val="none" w:sz="0" w:space="0" w:color="auto"/>
      </w:divBdr>
    </w:div>
    <w:div w:id="1370568671">
      <w:bodyDiv w:val="1"/>
      <w:marLeft w:val="0"/>
      <w:marRight w:val="0"/>
      <w:marTop w:val="0"/>
      <w:marBottom w:val="0"/>
      <w:divBdr>
        <w:top w:val="none" w:sz="0" w:space="0" w:color="auto"/>
        <w:left w:val="none" w:sz="0" w:space="0" w:color="auto"/>
        <w:bottom w:val="none" w:sz="0" w:space="0" w:color="auto"/>
        <w:right w:val="none" w:sz="0" w:space="0" w:color="auto"/>
      </w:divBdr>
    </w:div>
    <w:div w:id="17505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96B5-5461-4F7E-B1E9-4353DB61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1681</Words>
  <Characters>9250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Fréderic Loyer</dc:creator>
  <cp:keywords/>
  <dc:description/>
  <cp:lastModifiedBy>Jean-François TARDIVEAU</cp:lastModifiedBy>
  <cp:revision>4</cp:revision>
  <cp:lastPrinted>2016-12-15T14:58:00Z</cp:lastPrinted>
  <dcterms:created xsi:type="dcterms:W3CDTF">2016-12-15T16:24:00Z</dcterms:created>
  <dcterms:modified xsi:type="dcterms:W3CDTF">2017-03-15T13:45:00Z</dcterms:modified>
</cp:coreProperties>
</file>