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CA7AC" w14:textId="77777777" w:rsidR="00C029EF" w:rsidRPr="000E5E53" w:rsidRDefault="000B3709" w:rsidP="000B3709">
      <w:pPr>
        <w:jc w:val="center"/>
        <w:rPr>
          <w:b/>
          <w:sz w:val="40"/>
        </w:rPr>
      </w:pPr>
      <w:r w:rsidRPr="000E5E53">
        <w:rPr>
          <w:b/>
          <w:sz w:val="40"/>
        </w:rPr>
        <w:t>Le paradoxe de l’investissement immobilier !</w:t>
      </w:r>
    </w:p>
    <w:p w14:paraId="42DCA7AD" w14:textId="77777777" w:rsidR="0058600F" w:rsidRDefault="0058600F" w:rsidP="000B3709">
      <w:pPr>
        <w:jc w:val="center"/>
        <w:rPr>
          <w:b/>
          <w:sz w:val="32"/>
        </w:rPr>
      </w:pPr>
    </w:p>
    <w:p w14:paraId="42DCA7AE" w14:textId="77777777" w:rsidR="0058600F" w:rsidRDefault="0058600F" w:rsidP="000B3709">
      <w:pPr>
        <w:jc w:val="center"/>
        <w:rPr>
          <w:b/>
          <w:sz w:val="32"/>
        </w:rPr>
      </w:pPr>
      <w:r>
        <w:rPr>
          <w:b/>
          <w:sz w:val="32"/>
        </w:rPr>
        <w:t>Cas pratiques : Les hésitations de Monsieur JM LAPIERRE.</w:t>
      </w:r>
    </w:p>
    <w:p w14:paraId="1356252E" w14:textId="6AD0AEF0" w:rsidR="00DC15FC" w:rsidRPr="00690D7F" w:rsidRDefault="00DC15FC" w:rsidP="00DC15FC">
      <w:pPr>
        <w:pStyle w:val="Titre1"/>
        <w:numPr>
          <w:ilvl w:val="0"/>
          <w:numId w:val="0"/>
        </w:numPr>
        <w:ind w:left="1418" w:hanging="360"/>
        <w:rPr>
          <w:color w:val="548DD4" w:themeColor="text2" w:themeTint="99"/>
        </w:rPr>
      </w:pPr>
      <w:r>
        <w:t>I-</w:t>
      </w:r>
      <w:r>
        <w:rPr>
          <w:color w:val="548DD4" w:themeColor="text2" w:themeTint="99"/>
        </w:rPr>
        <w:t>EXPOSE DU CAS</w:t>
      </w:r>
    </w:p>
    <w:p w14:paraId="42DCA7AF" w14:textId="77777777" w:rsidR="0058600F" w:rsidRDefault="0058600F" w:rsidP="00383B88">
      <w:pPr>
        <w:rPr>
          <w:b/>
          <w:sz w:val="32"/>
        </w:rPr>
      </w:pPr>
    </w:p>
    <w:p w14:paraId="42DCA7B1" w14:textId="100E425D" w:rsidR="00237D7C" w:rsidRDefault="000B3709" w:rsidP="000B3709">
      <w:pPr>
        <w:pStyle w:val="Sansinterligne"/>
        <w:jc w:val="both"/>
        <w:rPr>
          <w:sz w:val="24"/>
        </w:rPr>
      </w:pPr>
      <w:r w:rsidRPr="000B3709">
        <w:rPr>
          <w:sz w:val="24"/>
        </w:rPr>
        <w:t>Ce n’est sans doute pas faire injure au législateur que d’affirmer haut et fort que les politiques successives suivis par les différents gouvernements semblent avoir rangé définitivement l’investissement immobilier au rang des mal-aimés</w:t>
      </w:r>
      <w:r w:rsidR="00237D7C">
        <w:rPr>
          <w:sz w:val="24"/>
        </w:rPr>
        <w:t>.</w:t>
      </w:r>
      <w:r w:rsidR="00DD295E">
        <w:rPr>
          <w:sz w:val="24"/>
        </w:rPr>
        <w:t xml:space="preserve"> </w:t>
      </w:r>
      <w:r w:rsidR="00237D7C">
        <w:rPr>
          <w:sz w:val="24"/>
        </w:rPr>
        <w:t xml:space="preserve">Pour s’en convaincre définitivement, </w:t>
      </w:r>
      <w:r w:rsidR="00066E61">
        <w:rPr>
          <w:sz w:val="24"/>
        </w:rPr>
        <w:t>examinons</w:t>
      </w:r>
      <w:r w:rsidR="00237D7C">
        <w:rPr>
          <w:sz w:val="24"/>
        </w:rPr>
        <w:t xml:space="preserve"> très rapidement la situation d’un investisseur qui se trouve dans une situation, certes enviable à bien des égards, d’être assujetti au taux maximum d’impôt sur le revenu, d’être un heureux redevable de l’IFI et pour faire bonne mesure</w:t>
      </w:r>
      <w:r w:rsidR="00066E61">
        <w:rPr>
          <w:sz w:val="24"/>
        </w:rPr>
        <w:t>,</w:t>
      </w:r>
      <w:r w:rsidR="00237D7C">
        <w:rPr>
          <w:sz w:val="24"/>
        </w:rPr>
        <w:t xml:space="preserve"> assujettie à la contribution excep</w:t>
      </w:r>
      <w:r w:rsidR="00DD295E">
        <w:rPr>
          <w:sz w:val="24"/>
        </w:rPr>
        <w:t>tionnelle sur les hauts revenus</w:t>
      </w:r>
      <w:r w:rsidR="00237D7C">
        <w:rPr>
          <w:sz w:val="24"/>
        </w:rPr>
        <w:t xml:space="preserve"> (CEHR).</w:t>
      </w:r>
    </w:p>
    <w:p w14:paraId="08565590" w14:textId="77777777" w:rsidR="00DD295E" w:rsidRDefault="00DD295E" w:rsidP="000B3709">
      <w:pPr>
        <w:pStyle w:val="Sansinterligne"/>
        <w:jc w:val="both"/>
        <w:rPr>
          <w:sz w:val="24"/>
        </w:rPr>
      </w:pPr>
    </w:p>
    <w:p w14:paraId="42DCA7B2" w14:textId="72026054" w:rsidR="00237D7C" w:rsidRDefault="00237D7C" w:rsidP="000B3709">
      <w:pPr>
        <w:pStyle w:val="Sansinterligne"/>
        <w:jc w:val="both"/>
        <w:rPr>
          <w:sz w:val="24"/>
        </w:rPr>
      </w:pPr>
      <w:r>
        <w:rPr>
          <w:sz w:val="24"/>
        </w:rPr>
        <w:t>Le tableau ci-dessous, même s’il se passe de commentaires, démontre que le placement immobilier avec un taux de rendement certes relativement faible, aboutit à un profit net après l’ensemble des impôts qui frôlent le taux ridicule de 0 % !</w:t>
      </w:r>
    </w:p>
    <w:p w14:paraId="60365FCA" w14:textId="4443CDB5" w:rsidR="00B54454" w:rsidRPr="00B54454" w:rsidRDefault="00B54454" w:rsidP="000B3709">
      <w:pPr>
        <w:pStyle w:val="Sansinterligne"/>
        <w:jc w:val="both"/>
        <w:rPr>
          <w:b/>
          <w:color w:val="FF0000"/>
          <w:sz w:val="24"/>
        </w:rPr>
      </w:pPr>
    </w:p>
    <w:p w14:paraId="78378193" w14:textId="696103F2" w:rsidR="00B54454" w:rsidRPr="00B54454" w:rsidRDefault="00B54454" w:rsidP="000B3709">
      <w:pPr>
        <w:pStyle w:val="Sansinterligne"/>
        <w:jc w:val="both"/>
        <w:rPr>
          <w:b/>
          <w:color w:val="FF0000"/>
          <w:sz w:val="24"/>
        </w:rPr>
      </w:pPr>
      <w:r w:rsidRPr="00B54454">
        <w:rPr>
          <w:b/>
          <w:color w:val="FF0000"/>
          <w:sz w:val="24"/>
        </w:rPr>
        <w:t xml:space="preserve">TABLEAU </w:t>
      </w:r>
      <w:r>
        <w:rPr>
          <w:b/>
          <w:color w:val="FF0000"/>
          <w:sz w:val="24"/>
        </w:rPr>
        <w:t>1</w:t>
      </w:r>
    </w:p>
    <w:p w14:paraId="42DCA7B3" w14:textId="77777777" w:rsidR="00144A61" w:rsidRDefault="00144A61" w:rsidP="000B3709">
      <w:pPr>
        <w:pStyle w:val="Sansinterligne"/>
        <w:jc w:val="both"/>
        <w:rPr>
          <w:sz w:val="24"/>
        </w:rPr>
      </w:pPr>
    </w:p>
    <w:p w14:paraId="42DCA7B4" w14:textId="77777777" w:rsidR="00237D7C" w:rsidRDefault="00144A61" w:rsidP="00144A61">
      <w:pPr>
        <w:pStyle w:val="Sansinterligne"/>
        <w:jc w:val="center"/>
        <w:rPr>
          <w:sz w:val="24"/>
        </w:rPr>
      </w:pPr>
      <w:r w:rsidRPr="00144A61">
        <w:rPr>
          <w:noProof/>
          <w:lang w:eastAsia="fr-FR"/>
        </w:rPr>
        <w:drawing>
          <wp:inline distT="0" distB="0" distL="0" distR="0" wp14:anchorId="42DCA899" wp14:editId="42DCA89A">
            <wp:extent cx="3257550" cy="3971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3971925"/>
                    </a:xfrm>
                    <a:prstGeom prst="rect">
                      <a:avLst/>
                    </a:prstGeom>
                    <a:noFill/>
                    <a:ln>
                      <a:noFill/>
                    </a:ln>
                  </pic:spPr>
                </pic:pic>
              </a:graphicData>
            </a:graphic>
          </wp:inline>
        </w:drawing>
      </w:r>
    </w:p>
    <w:p w14:paraId="42DCA7B5" w14:textId="77777777" w:rsidR="00237D7C" w:rsidRDefault="00237D7C" w:rsidP="000B3709">
      <w:pPr>
        <w:pStyle w:val="Sansinterligne"/>
        <w:jc w:val="both"/>
        <w:rPr>
          <w:sz w:val="24"/>
        </w:rPr>
      </w:pPr>
    </w:p>
    <w:p w14:paraId="42DCA7B7" w14:textId="77777777" w:rsidR="00144A61" w:rsidRDefault="00144A61" w:rsidP="000B3709">
      <w:pPr>
        <w:pStyle w:val="Sansinterligne"/>
        <w:jc w:val="both"/>
        <w:rPr>
          <w:sz w:val="24"/>
        </w:rPr>
      </w:pPr>
    </w:p>
    <w:p w14:paraId="42DCA7B8" w14:textId="77777777" w:rsidR="00144A61" w:rsidRDefault="00144A61" w:rsidP="000B3709">
      <w:pPr>
        <w:pStyle w:val="Sansinterligne"/>
        <w:jc w:val="both"/>
        <w:rPr>
          <w:sz w:val="24"/>
        </w:rPr>
      </w:pPr>
    </w:p>
    <w:p w14:paraId="42DCA7B9" w14:textId="77777777" w:rsidR="00144A61" w:rsidRDefault="00144A61" w:rsidP="000B3709">
      <w:pPr>
        <w:pStyle w:val="Sansinterligne"/>
        <w:jc w:val="both"/>
        <w:rPr>
          <w:sz w:val="24"/>
        </w:rPr>
      </w:pPr>
    </w:p>
    <w:p w14:paraId="42DCA7BA" w14:textId="11EE91E3" w:rsidR="00144A61" w:rsidRDefault="00144A61" w:rsidP="00144A61">
      <w:pPr>
        <w:pStyle w:val="Sansinterligne"/>
        <w:jc w:val="center"/>
        <w:rPr>
          <w:sz w:val="24"/>
        </w:rPr>
      </w:pPr>
    </w:p>
    <w:p w14:paraId="42DCA7C1" w14:textId="4106C949" w:rsidR="00607786" w:rsidRDefault="00AC2B5D" w:rsidP="00CD03BB">
      <w:pPr>
        <w:pStyle w:val="Sansinterligne"/>
        <w:jc w:val="both"/>
        <w:rPr>
          <w:sz w:val="24"/>
        </w:rPr>
      </w:pPr>
      <w:r>
        <w:rPr>
          <w:sz w:val="24"/>
        </w:rPr>
        <w:t>En même temps, pour employer une expression devenue à la mode, jamais les inquiétudes sur le montant des retraites n’a été aussi perceptibles</w:t>
      </w:r>
      <w:r w:rsidR="00DD295E">
        <w:rPr>
          <w:sz w:val="24"/>
        </w:rPr>
        <w:t xml:space="preserve"> (1)</w:t>
      </w:r>
      <w:r>
        <w:rPr>
          <w:sz w:val="24"/>
        </w:rPr>
        <w:t>.</w:t>
      </w:r>
      <w:r>
        <w:rPr>
          <w:rStyle w:val="Appelnotedebasdep"/>
          <w:sz w:val="24"/>
        </w:rPr>
        <w:footnoteReference w:id="2"/>
      </w:r>
      <w:r w:rsidR="00DD295E">
        <w:rPr>
          <w:sz w:val="24"/>
        </w:rPr>
        <w:t xml:space="preserve"> </w:t>
      </w:r>
      <w:r w:rsidR="00607786">
        <w:rPr>
          <w:sz w:val="24"/>
        </w:rPr>
        <w:t>C’est pourquoi, malgré les contraintes rappelées ci-dessus, un chef d’entreprise a de multiples raisons, actuelles et f</w:t>
      </w:r>
      <w:r w:rsidR="000940DF">
        <w:rPr>
          <w:sz w:val="24"/>
        </w:rPr>
        <w:t>utures, de chercher à acquérir s</w:t>
      </w:r>
      <w:r w:rsidR="00607786">
        <w:rPr>
          <w:sz w:val="24"/>
        </w:rPr>
        <w:t>es locaux d’exploitation et de conserver ses biens immobiliers dans son patrimoine personnel :</w:t>
      </w:r>
    </w:p>
    <w:p w14:paraId="42DCA7C2" w14:textId="77777777" w:rsidR="00607786" w:rsidRDefault="00607786" w:rsidP="000940DF">
      <w:pPr>
        <w:pStyle w:val="Sansinterligne"/>
        <w:ind w:left="708"/>
        <w:jc w:val="both"/>
        <w:rPr>
          <w:sz w:val="24"/>
        </w:rPr>
      </w:pPr>
      <w:r>
        <w:rPr>
          <w:sz w:val="24"/>
        </w:rPr>
        <w:t>•tout d’abord, il cherchera à sécuriser sur le long terme les locaux dans lesquels il exercera son activité ;</w:t>
      </w:r>
    </w:p>
    <w:p w14:paraId="42DCA7C3" w14:textId="77777777" w:rsidR="00607786" w:rsidRDefault="00607786" w:rsidP="000940DF">
      <w:pPr>
        <w:pStyle w:val="Sansinterligne"/>
        <w:ind w:left="708"/>
        <w:jc w:val="both"/>
        <w:rPr>
          <w:sz w:val="24"/>
        </w:rPr>
      </w:pPr>
      <w:r>
        <w:rPr>
          <w:sz w:val="24"/>
        </w:rPr>
        <w:t>•sur le plan plus patrimonial, la conservation de ce dernier dans son patrimoine personnel est destinée surtout :</w:t>
      </w:r>
    </w:p>
    <w:p w14:paraId="42DCA7C4" w14:textId="1E0995A3" w:rsidR="00607786" w:rsidRDefault="00DD295E" w:rsidP="000940DF">
      <w:pPr>
        <w:pStyle w:val="Sansinterligne"/>
        <w:ind w:left="1416"/>
        <w:jc w:val="both"/>
        <w:rPr>
          <w:sz w:val="24"/>
        </w:rPr>
      </w:pPr>
      <w:r>
        <w:rPr>
          <w:sz w:val="24"/>
        </w:rPr>
        <w:t>-</w:t>
      </w:r>
      <w:r w:rsidR="00066E61">
        <w:rPr>
          <w:sz w:val="24"/>
        </w:rPr>
        <w:t xml:space="preserve"> à </w:t>
      </w:r>
      <w:r w:rsidR="00607786">
        <w:rPr>
          <w:sz w:val="24"/>
        </w:rPr>
        <w:t>mettre à l’abri le local d’exploitation des aléas de son entreprise afin d’éviter qu’un</w:t>
      </w:r>
      <w:r>
        <w:rPr>
          <w:sz w:val="24"/>
        </w:rPr>
        <w:t xml:space="preserve">e mésaventure entrepreneuriale </w:t>
      </w:r>
      <w:r w:rsidR="00607786">
        <w:rPr>
          <w:sz w:val="24"/>
        </w:rPr>
        <w:t>conduise également à brader son bien immobilier ;</w:t>
      </w:r>
    </w:p>
    <w:p w14:paraId="42DCA7C5" w14:textId="6210D534" w:rsidR="00607786" w:rsidRDefault="00DD295E" w:rsidP="000940DF">
      <w:pPr>
        <w:pStyle w:val="Sansinterligne"/>
        <w:ind w:left="1416"/>
        <w:jc w:val="both"/>
        <w:rPr>
          <w:sz w:val="24"/>
        </w:rPr>
      </w:pPr>
      <w:r>
        <w:rPr>
          <w:sz w:val="24"/>
        </w:rPr>
        <w:t xml:space="preserve">- </w:t>
      </w:r>
      <w:r w:rsidR="00607786">
        <w:rPr>
          <w:sz w:val="24"/>
        </w:rPr>
        <w:t>préparer un complément de retraite facilement gérable et quantifiable ;</w:t>
      </w:r>
    </w:p>
    <w:p w14:paraId="42DCA7C6" w14:textId="5F6E054E" w:rsidR="00607786" w:rsidRDefault="00DD295E" w:rsidP="000940DF">
      <w:pPr>
        <w:pStyle w:val="Sansinterligne"/>
        <w:ind w:left="1416"/>
        <w:jc w:val="both"/>
        <w:rPr>
          <w:sz w:val="24"/>
        </w:rPr>
      </w:pPr>
      <w:r>
        <w:rPr>
          <w:sz w:val="24"/>
        </w:rPr>
        <w:t xml:space="preserve">- </w:t>
      </w:r>
      <w:r w:rsidR="00607786">
        <w:rPr>
          <w:sz w:val="24"/>
        </w:rPr>
        <w:t xml:space="preserve">enfin, ce bien immobilier pourra facilement être transmis à ses héritiers et </w:t>
      </w:r>
      <w:r w:rsidR="00066E61">
        <w:rPr>
          <w:sz w:val="24"/>
        </w:rPr>
        <w:t>constituer un revenu</w:t>
      </w:r>
      <w:r w:rsidR="00607786">
        <w:rPr>
          <w:sz w:val="24"/>
        </w:rPr>
        <w:t xml:space="preserve"> sans requérir de compétences techniques particulières.</w:t>
      </w:r>
    </w:p>
    <w:p w14:paraId="42DCA7C7" w14:textId="77777777" w:rsidR="007E2BF4" w:rsidRDefault="007E2BF4" w:rsidP="000940DF">
      <w:pPr>
        <w:pStyle w:val="Sansinterligne"/>
        <w:ind w:left="1416"/>
        <w:jc w:val="both"/>
        <w:rPr>
          <w:sz w:val="24"/>
        </w:rPr>
      </w:pPr>
    </w:p>
    <w:p w14:paraId="42DCA7C8" w14:textId="25E26658" w:rsidR="007E2BF4" w:rsidRDefault="007E2BF4" w:rsidP="007E2BF4">
      <w:pPr>
        <w:pStyle w:val="Sansinterligne"/>
        <w:jc w:val="both"/>
        <w:rPr>
          <w:sz w:val="24"/>
        </w:rPr>
      </w:pPr>
      <w:r>
        <w:rPr>
          <w:sz w:val="24"/>
        </w:rPr>
        <w:t xml:space="preserve">Examinant tous </w:t>
      </w:r>
      <w:r w:rsidR="00E224A4">
        <w:rPr>
          <w:sz w:val="24"/>
        </w:rPr>
        <w:t>c</w:t>
      </w:r>
      <w:r>
        <w:rPr>
          <w:sz w:val="24"/>
        </w:rPr>
        <w:t>es aspects à travers l’expérience de Monsieur J</w:t>
      </w:r>
      <w:r w:rsidR="00DD295E">
        <w:rPr>
          <w:sz w:val="24"/>
        </w:rPr>
        <w:t xml:space="preserve">ean </w:t>
      </w:r>
      <w:r>
        <w:rPr>
          <w:sz w:val="24"/>
        </w:rPr>
        <w:t>M</w:t>
      </w:r>
      <w:r w:rsidR="00DD295E">
        <w:rPr>
          <w:sz w:val="24"/>
        </w:rPr>
        <w:t>arie</w:t>
      </w:r>
      <w:r>
        <w:rPr>
          <w:sz w:val="24"/>
        </w:rPr>
        <w:t xml:space="preserve"> L</w:t>
      </w:r>
      <w:r w:rsidR="00DD295E">
        <w:rPr>
          <w:sz w:val="24"/>
        </w:rPr>
        <w:t>apierre</w:t>
      </w:r>
      <w:r>
        <w:rPr>
          <w:sz w:val="24"/>
        </w:rPr>
        <w:t>, qui vient de dénicher un local qui pourrait s’adapter à merveille à son entreprise et dont les caractéristiques sont résumées ci-après :</w:t>
      </w:r>
    </w:p>
    <w:p w14:paraId="797CF50A" w14:textId="7777F6AC" w:rsidR="00B54454" w:rsidRDefault="00B54454" w:rsidP="007E2BF4">
      <w:pPr>
        <w:pStyle w:val="Sansinterligne"/>
        <w:jc w:val="both"/>
        <w:rPr>
          <w:sz w:val="24"/>
        </w:rPr>
      </w:pPr>
    </w:p>
    <w:p w14:paraId="503F0A03" w14:textId="5FBCC7EF" w:rsidR="00B54454" w:rsidRDefault="00B54454" w:rsidP="00B54454">
      <w:pPr>
        <w:pStyle w:val="Sansinterligne"/>
        <w:jc w:val="both"/>
        <w:rPr>
          <w:sz w:val="24"/>
        </w:rPr>
      </w:pPr>
      <w:r w:rsidRPr="00B54454">
        <w:rPr>
          <w:b/>
          <w:color w:val="FF0000"/>
          <w:sz w:val="24"/>
        </w:rPr>
        <w:t>TABLEAU</w:t>
      </w:r>
      <w:r>
        <w:rPr>
          <w:b/>
          <w:color w:val="FF0000"/>
          <w:sz w:val="24"/>
        </w:rPr>
        <w:t xml:space="preserve"> 2</w:t>
      </w:r>
    </w:p>
    <w:p w14:paraId="42DCA7C9" w14:textId="77777777" w:rsidR="007E2BF4" w:rsidRDefault="007E2BF4" w:rsidP="007E2BF4">
      <w:pPr>
        <w:pStyle w:val="Sansinterligne"/>
        <w:jc w:val="both"/>
        <w:rPr>
          <w:sz w:val="24"/>
        </w:rPr>
      </w:pPr>
    </w:p>
    <w:tbl>
      <w:tblPr>
        <w:tblW w:w="7281" w:type="dxa"/>
        <w:jc w:val="center"/>
        <w:tblCellMar>
          <w:left w:w="70" w:type="dxa"/>
          <w:right w:w="70" w:type="dxa"/>
        </w:tblCellMar>
        <w:tblLook w:val="04A0" w:firstRow="1" w:lastRow="0" w:firstColumn="1" w:lastColumn="0" w:noHBand="0" w:noVBand="1"/>
      </w:tblPr>
      <w:tblGrid>
        <w:gridCol w:w="1340"/>
        <w:gridCol w:w="720"/>
        <w:gridCol w:w="923"/>
        <w:gridCol w:w="757"/>
        <w:gridCol w:w="1591"/>
        <w:gridCol w:w="185"/>
        <w:gridCol w:w="1014"/>
        <w:gridCol w:w="776"/>
      </w:tblGrid>
      <w:tr w:rsidR="007E2BF4" w:rsidRPr="007E2BF4" w14:paraId="42DCA7CD" w14:textId="77777777" w:rsidTr="007E2BF4">
        <w:trPr>
          <w:trHeight w:val="225"/>
          <w:jc w:val="center"/>
        </w:trPr>
        <w:tc>
          <w:tcPr>
            <w:tcW w:w="2060" w:type="dxa"/>
            <w:gridSpan w:val="2"/>
            <w:tcBorders>
              <w:top w:val="single" w:sz="8" w:space="0" w:color="auto"/>
              <w:left w:val="single" w:sz="8" w:space="0" w:color="auto"/>
              <w:bottom w:val="nil"/>
              <w:right w:val="nil"/>
            </w:tcBorders>
            <w:shd w:val="clear" w:color="000000" w:fill="FFFF00"/>
            <w:noWrap/>
            <w:vAlign w:val="bottom"/>
            <w:hideMark/>
          </w:tcPr>
          <w:p w14:paraId="42DCA7CA" w14:textId="77777777" w:rsidR="007E2BF4" w:rsidRPr="007E2BF4" w:rsidRDefault="007E2BF4" w:rsidP="007E2BF4">
            <w:pPr>
              <w:spacing w:after="0" w:line="240" w:lineRule="auto"/>
              <w:jc w:val="center"/>
              <w:rPr>
                <w:rFonts w:ascii="Arial" w:eastAsia="Times New Roman" w:hAnsi="Arial" w:cs="Arial"/>
                <w:b/>
                <w:bCs/>
                <w:color w:val="974706"/>
                <w:sz w:val="16"/>
                <w:szCs w:val="16"/>
                <w:lang w:eastAsia="fr-FR"/>
              </w:rPr>
            </w:pPr>
            <w:r w:rsidRPr="007E2BF4">
              <w:rPr>
                <w:rFonts w:ascii="Arial" w:eastAsia="Times New Roman" w:hAnsi="Arial" w:cs="Arial"/>
                <w:b/>
                <w:bCs/>
                <w:color w:val="974706"/>
                <w:sz w:val="16"/>
                <w:szCs w:val="16"/>
                <w:lang w:eastAsia="fr-FR"/>
              </w:rPr>
              <w:t>INVESTISSEMENT</w:t>
            </w:r>
          </w:p>
        </w:tc>
        <w:tc>
          <w:tcPr>
            <w:tcW w:w="1680" w:type="dxa"/>
            <w:gridSpan w:val="2"/>
            <w:tcBorders>
              <w:top w:val="single" w:sz="8" w:space="0" w:color="auto"/>
              <w:left w:val="single" w:sz="4" w:space="0" w:color="auto"/>
              <w:bottom w:val="single" w:sz="4" w:space="0" w:color="auto"/>
              <w:right w:val="single" w:sz="4" w:space="0" w:color="000000"/>
            </w:tcBorders>
            <w:shd w:val="clear" w:color="000000" w:fill="FFFF00"/>
            <w:noWrap/>
            <w:vAlign w:val="bottom"/>
            <w:hideMark/>
          </w:tcPr>
          <w:p w14:paraId="42DCA7CB" w14:textId="77777777" w:rsidR="007E2BF4" w:rsidRPr="007E2BF4" w:rsidRDefault="007E2BF4" w:rsidP="007E2BF4">
            <w:pPr>
              <w:spacing w:after="0" w:line="240" w:lineRule="auto"/>
              <w:jc w:val="center"/>
              <w:rPr>
                <w:rFonts w:ascii="Arial" w:eastAsia="Times New Roman" w:hAnsi="Arial" w:cs="Arial"/>
                <w:b/>
                <w:bCs/>
                <w:color w:val="974706"/>
                <w:sz w:val="16"/>
                <w:szCs w:val="16"/>
                <w:lang w:eastAsia="fr-FR"/>
              </w:rPr>
            </w:pPr>
            <w:r w:rsidRPr="007E2BF4">
              <w:rPr>
                <w:rFonts w:ascii="Arial" w:eastAsia="Times New Roman" w:hAnsi="Arial" w:cs="Arial"/>
                <w:b/>
                <w:bCs/>
                <w:color w:val="974706"/>
                <w:sz w:val="16"/>
                <w:szCs w:val="16"/>
                <w:lang w:eastAsia="fr-FR"/>
              </w:rPr>
              <w:t>FINANCEMENT</w:t>
            </w:r>
          </w:p>
        </w:tc>
        <w:tc>
          <w:tcPr>
            <w:tcW w:w="3541"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42DCA7CC" w14:textId="77777777" w:rsidR="007E2BF4" w:rsidRPr="007E2BF4" w:rsidRDefault="007E2BF4" w:rsidP="007E2BF4">
            <w:pPr>
              <w:spacing w:after="0" w:line="240" w:lineRule="auto"/>
              <w:jc w:val="center"/>
              <w:rPr>
                <w:rFonts w:ascii="Arial" w:eastAsia="Times New Roman" w:hAnsi="Arial" w:cs="Arial"/>
                <w:b/>
                <w:bCs/>
                <w:color w:val="974706"/>
                <w:sz w:val="18"/>
                <w:szCs w:val="18"/>
                <w:lang w:eastAsia="fr-FR"/>
              </w:rPr>
            </w:pPr>
            <w:r w:rsidRPr="007E2BF4">
              <w:rPr>
                <w:rFonts w:ascii="Arial" w:eastAsia="Times New Roman" w:hAnsi="Arial" w:cs="Arial"/>
                <w:b/>
                <w:bCs/>
                <w:color w:val="974706"/>
                <w:sz w:val="18"/>
                <w:szCs w:val="18"/>
                <w:lang w:eastAsia="fr-FR"/>
              </w:rPr>
              <w:t>AMORTISSEMENT</w:t>
            </w:r>
          </w:p>
        </w:tc>
      </w:tr>
      <w:tr w:rsidR="007E2BF4" w:rsidRPr="007E2BF4" w14:paraId="42DCA7D5" w14:textId="77777777" w:rsidTr="007E2BF4">
        <w:trPr>
          <w:trHeight w:val="225"/>
          <w:jc w:val="center"/>
        </w:trPr>
        <w:tc>
          <w:tcPr>
            <w:tcW w:w="1340" w:type="dxa"/>
            <w:tcBorders>
              <w:top w:val="nil"/>
              <w:left w:val="single" w:sz="8" w:space="0" w:color="auto"/>
              <w:bottom w:val="nil"/>
              <w:right w:val="nil"/>
            </w:tcBorders>
            <w:shd w:val="clear" w:color="000000" w:fill="C5D9F1"/>
            <w:noWrap/>
            <w:vAlign w:val="bottom"/>
            <w:hideMark/>
          </w:tcPr>
          <w:p w14:paraId="42DCA7CE" w14:textId="77777777" w:rsidR="007E2BF4" w:rsidRPr="007E2BF4" w:rsidRDefault="007E2BF4" w:rsidP="007E2BF4">
            <w:pPr>
              <w:spacing w:after="0" w:line="240" w:lineRule="auto"/>
              <w:rPr>
                <w:rFonts w:ascii="Arial" w:eastAsia="Times New Roman" w:hAnsi="Arial" w:cs="Arial"/>
                <w:b/>
                <w:bCs/>
                <w:color w:val="000000"/>
                <w:sz w:val="16"/>
                <w:szCs w:val="16"/>
                <w:lang w:eastAsia="fr-FR"/>
              </w:rPr>
            </w:pPr>
            <w:r w:rsidRPr="007E2BF4">
              <w:rPr>
                <w:rFonts w:ascii="Arial" w:eastAsia="Times New Roman" w:hAnsi="Arial" w:cs="Arial"/>
                <w:b/>
                <w:bCs/>
                <w:color w:val="000000"/>
                <w:sz w:val="16"/>
                <w:szCs w:val="16"/>
                <w:lang w:eastAsia="fr-FR"/>
              </w:rPr>
              <w:t>Prix total</w:t>
            </w:r>
          </w:p>
        </w:tc>
        <w:tc>
          <w:tcPr>
            <w:tcW w:w="720" w:type="dxa"/>
            <w:tcBorders>
              <w:top w:val="nil"/>
              <w:left w:val="nil"/>
              <w:bottom w:val="nil"/>
              <w:right w:val="nil"/>
            </w:tcBorders>
            <w:shd w:val="clear" w:color="000000" w:fill="C5D9F1"/>
            <w:noWrap/>
            <w:vAlign w:val="bottom"/>
            <w:hideMark/>
          </w:tcPr>
          <w:p w14:paraId="42DCA7CF"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806 000</w:t>
            </w:r>
          </w:p>
        </w:tc>
        <w:tc>
          <w:tcPr>
            <w:tcW w:w="923" w:type="dxa"/>
            <w:tcBorders>
              <w:top w:val="nil"/>
              <w:left w:val="single" w:sz="4" w:space="0" w:color="auto"/>
              <w:bottom w:val="single" w:sz="4" w:space="0" w:color="auto"/>
              <w:right w:val="single" w:sz="4" w:space="0" w:color="auto"/>
            </w:tcBorders>
            <w:shd w:val="clear" w:color="000000" w:fill="C5D9F1"/>
            <w:noWrap/>
            <w:vAlign w:val="bottom"/>
            <w:hideMark/>
          </w:tcPr>
          <w:p w14:paraId="42DCA7D0"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Emprunt</w:t>
            </w:r>
          </w:p>
        </w:tc>
        <w:tc>
          <w:tcPr>
            <w:tcW w:w="757" w:type="dxa"/>
            <w:tcBorders>
              <w:top w:val="nil"/>
              <w:left w:val="nil"/>
              <w:bottom w:val="single" w:sz="4" w:space="0" w:color="auto"/>
              <w:right w:val="single" w:sz="4" w:space="0" w:color="auto"/>
            </w:tcBorders>
            <w:shd w:val="clear" w:color="000000" w:fill="C5D9F1"/>
            <w:noWrap/>
            <w:vAlign w:val="bottom"/>
            <w:hideMark/>
          </w:tcPr>
          <w:p w14:paraId="42DCA7D1"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700 000</w:t>
            </w:r>
          </w:p>
        </w:tc>
        <w:tc>
          <w:tcPr>
            <w:tcW w:w="1751" w:type="dxa"/>
            <w:gridSpan w:val="2"/>
            <w:tcBorders>
              <w:top w:val="single" w:sz="4" w:space="0" w:color="auto"/>
              <w:left w:val="nil"/>
              <w:bottom w:val="single" w:sz="4" w:space="0" w:color="auto"/>
              <w:right w:val="single" w:sz="4" w:space="0" w:color="000000"/>
            </w:tcBorders>
            <w:shd w:val="clear" w:color="000000" w:fill="C5D9F1"/>
            <w:noWrap/>
            <w:vAlign w:val="bottom"/>
            <w:hideMark/>
          </w:tcPr>
          <w:p w14:paraId="42DCA7D2"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Bâtiments</w:t>
            </w:r>
          </w:p>
        </w:tc>
        <w:tc>
          <w:tcPr>
            <w:tcW w:w="1014" w:type="dxa"/>
            <w:tcBorders>
              <w:top w:val="nil"/>
              <w:left w:val="nil"/>
              <w:bottom w:val="single" w:sz="4" w:space="0" w:color="auto"/>
              <w:right w:val="single" w:sz="4" w:space="0" w:color="auto"/>
            </w:tcBorders>
            <w:shd w:val="clear" w:color="000000" w:fill="C5D9F1"/>
            <w:noWrap/>
            <w:vAlign w:val="bottom"/>
            <w:hideMark/>
          </w:tcPr>
          <w:p w14:paraId="42DCA7D3"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750 000</w:t>
            </w:r>
          </w:p>
        </w:tc>
        <w:tc>
          <w:tcPr>
            <w:tcW w:w="776"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2DCA7D4" w14:textId="77777777" w:rsidR="007E2BF4" w:rsidRPr="007E2BF4" w:rsidRDefault="007E2BF4" w:rsidP="007E2BF4">
            <w:pPr>
              <w:spacing w:after="0" w:line="240" w:lineRule="auto"/>
              <w:jc w:val="center"/>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 </w:t>
            </w:r>
          </w:p>
        </w:tc>
      </w:tr>
      <w:tr w:rsidR="007E2BF4" w:rsidRPr="007E2BF4" w14:paraId="42DCA7DD" w14:textId="77777777" w:rsidTr="007E2BF4">
        <w:trPr>
          <w:trHeight w:val="225"/>
          <w:jc w:val="center"/>
        </w:trPr>
        <w:tc>
          <w:tcPr>
            <w:tcW w:w="1340" w:type="dxa"/>
            <w:tcBorders>
              <w:top w:val="nil"/>
              <w:left w:val="single" w:sz="8" w:space="0" w:color="auto"/>
              <w:bottom w:val="nil"/>
              <w:right w:val="nil"/>
            </w:tcBorders>
            <w:shd w:val="clear" w:color="000000" w:fill="C5D9F1"/>
            <w:noWrap/>
            <w:vAlign w:val="bottom"/>
            <w:hideMark/>
          </w:tcPr>
          <w:p w14:paraId="42DCA7D6" w14:textId="77777777" w:rsidR="007E2BF4" w:rsidRPr="007E2BF4" w:rsidRDefault="007E2BF4" w:rsidP="007E2BF4">
            <w:pPr>
              <w:spacing w:after="0" w:line="240" w:lineRule="auto"/>
              <w:rPr>
                <w:rFonts w:ascii="Arial" w:eastAsia="Times New Roman" w:hAnsi="Arial" w:cs="Arial"/>
                <w:b/>
                <w:bCs/>
                <w:color w:val="000000"/>
                <w:sz w:val="16"/>
                <w:szCs w:val="16"/>
                <w:lang w:eastAsia="fr-FR"/>
              </w:rPr>
            </w:pPr>
            <w:r w:rsidRPr="007E2BF4">
              <w:rPr>
                <w:rFonts w:ascii="Arial" w:eastAsia="Times New Roman" w:hAnsi="Arial" w:cs="Arial"/>
                <w:b/>
                <w:bCs/>
                <w:color w:val="000000"/>
                <w:sz w:val="16"/>
                <w:szCs w:val="16"/>
                <w:lang w:eastAsia="fr-FR"/>
              </w:rPr>
              <w:t>Apport perso</w:t>
            </w:r>
          </w:p>
        </w:tc>
        <w:tc>
          <w:tcPr>
            <w:tcW w:w="720" w:type="dxa"/>
            <w:tcBorders>
              <w:top w:val="nil"/>
              <w:left w:val="nil"/>
              <w:bottom w:val="nil"/>
              <w:right w:val="nil"/>
            </w:tcBorders>
            <w:shd w:val="clear" w:color="000000" w:fill="C5D9F1"/>
            <w:noWrap/>
            <w:vAlign w:val="bottom"/>
            <w:hideMark/>
          </w:tcPr>
          <w:p w14:paraId="42DCA7D7"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106 000</w:t>
            </w:r>
          </w:p>
        </w:tc>
        <w:tc>
          <w:tcPr>
            <w:tcW w:w="923" w:type="dxa"/>
            <w:tcBorders>
              <w:top w:val="nil"/>
              <w:left w:val="single" w:sz="4" w:space="0" w:color="auto"/>
              <w:bottom w:val="single" w:sz="4" w:space="0" w:color="auto"/>
              <w:right w:val="single" w:sz="4" w:space="0" w:color="auto"/>
            </w:tcBorders>
            <w:shd w:val="clear" w:color="000000" w:fill="C5D9F1"/>
            <w:noWrap/>
            <w:vAlign w:val="bottom"/>
            <w:hideMark/>
          </w:tcPr>
          <w:p w14:paraId="42DCA7D8"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Taux</w:t>
            </w:r>
          </w:p>
        </w:tc>
        <w:tc>
          <w:tcPr>
            <w:tcW w:w="757" w:type="dxa"/>
            <w:tcBorders>
              <w:top w:val="nil"/>
              <w:left w:val="nil"/>
              <w:bottom w:val="single" w:sz="4" w:space="0" w:color="auto"/>
              <w:right w:val="single" w:sz="4" w:space="0" w:color="auto"/>
            </w:tcBorders>
            <w:shd w:val="clear" w:color="000000" w:fill="C5D9F1"/>
            <w:noWrap/>
            <w:vAlign w:val="bottom"/>
            <w:hideMark/>
          </w:tcPr>
          <w:p w14:paraId="42DCA7D9"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1,275</w:t>
            </w:r>
          </w:p>
        </w:tc>
        <w:tc>
          <w:tcPr>
            <w:tcW w:w="1751" w:type="dxa"/>
            <w:gridSpan w:val="2"/>
            <w:tcBorders>
              <w:top w:val="single" w:sz="4" w:space="0" w:color="auto"/>
              <w:left w:val="nil"/>
              <w:bottom w:val="single" w:sz="4" w:space="0" w:color="auto"/>
              <w:right w:val="single" w:sz="4" w:space="0" w:color="000000"/>
            </w:tcBorders>
            <w:shd w:val="clear" w:color="000000" w:fill="C5D9F1"/>
            <w:noWrap/>
            <w:vAlign w:val="bottom"/>
            <w:hideMark/>
          </w:tcPr>
          <w:p w14:paraId="42DCA7DA"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Terrain</w:t>
            </w:r>
          </w:p>
        </w:tc>
        <w:tc>
          <w:tcPr>
            <w:tcW w:w="1014" w:type="dxa"/>
            <w:tcBorders>
              <w:top w:val="nil"/>
              <w:left w:val="nil"/>
              <w:bottom w:val="single" w:sz="4" w:space="0" w:color="auto"/>
              <w:right w:val="single" w:sz="4" w:space="0" w:color="auto"/>
            </w:tcBorders>
            <w:shd w:val="clear" w:color="000000" w:fill="C5D9F1"/>
            <w:noWrap/>
            <w:vAlign w:val="bottom"/>
            <w:hideMark/>
          </w:tcPr>
          <w:p w14:paraId="42DCA7DB"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200 000</w:t>
            </w:r>
          </w:p>
        </w:tc>
        <w:tc>
          <w:tcPr>
            <w:tcW w:w="776" w:type="dxa"/>
            <w:vMerge/>
            <w:tcBorders>
              <w:top w:val="nil"/>
              <w:left w:val="single" w:sz="4" w:space="0" w:color="auto"/>
              <w:bottom w:val="single" w:sz="4" w:space="0" w:color="000000"/>
              <w:right w:val="single" w:sz="8" w:space="0" w:color="auto"/>
            </w:tcBorders>
            <w:vAlign w:val="center"/>
            <w:hideMark/>
          </w:tcPr>
          <w:p w14:paraId="42DCA7DC" w14:textId="77777777" w:rsidR="007E2BF4" w:rsidRPr="007E2BF4" w:rsidRDefault="007E2BF4" w:rsidP="007E2BF4">
            <w:pPr>
              <w:spacing w:after="0" w:line="240" w:lineRule="auto"/>
              <w:rPr>
                <w:rFonts w:ascii="Arial" w:eastAsia="Times New Roman" w:hAnsi="Arial" w:cs="Arial"/>
                <w:color w:val="000000"/>
                <w:sz w:val="16"/>
                <w:szCs w:val="16"/>
                <w:lang w:eastAsia="fr-FR"/>
              </w:rPr>
            </w:pPr>
          </w:p>
        </w:tc>
      </w:tr>
      <w:tr w:rsidR="007E2BF4" w:rsidRPr="007E2BF4" w14:paraId="42DCA7E5" w14:textId="77777777" w:rsidTr="007E2BF4">
        <w:trPr>
          <w:trHeight w:val="225"/>
          <w:jc w:val="center"/>
        </w:trPr>
        <w:tc>
          <w:tcPr>
            <w:tcW w:w="1340" w:type="dxa"/>
            <w:tcBorders>
              <w:top w:val="nil"/>
              <w:left w:val="single" w:sz="8" w:space="0" w:color="auto"/>
              <w:bottom w:val="nil"/>
              <w:right w:val="nil"/>
            </w:tcBorders>
            <w:shd w:val="clear" w:color="000000" w:fill="C5D9F1"/>
            <w:noWrap/>
            <w:vAlign w:val="bottom"/>
            <w:hideMark/>
          </w:tcPr>
          <w:p w14:paraId="42DCA7DE" w14:textId="77777777" w:rsidR="007E2BF4" w:rsidRPr="007E2BF4" w:rsidRDefault="007E2BF4" w:rsidP="007E2BF4">
            <w:pPr>
              <w:spacing w:after="0" w:line="240" w:lineRule="auto"/>
              <w:rPr>
                <w:rFonts w:ascii="Arial" w:eastAsia="Times New Roman" w:hAnsi="Arial" w:cs="Arial"/>
                <w:b/>
                <w:bCs/>
                <w:color w:val="000000"/>
                <w:sz w:val="16"/>
                <w:szCs w:val="16"/>
                <w:lang w:eastAsia="fr-FR"/>
              </w:rPr>
            </w:pPr>
            <w:r w:rsidRPr="007E2BF4">
              <w:rPr>
                <w:rFonts w:ascii="Arial" w:eastAsia="Times New Roman" w:hAnsi="Arial" w:cs="Arial"/>
                <w:b/>
                <w:bCs/>
                <w:color w:val="000000"/>
                <w:sz w:val="16"/>
                <w:szCs w:val="16"/>
                <w:lang w:eastAsia="fr-FR"/>
              </w:rPr>
              <w:t>Emprunt</w:t>
            </w:r>
          </w:p>
        </w:tc>
        <w:tc>
          <w:tcPr>
            <w:tcW w:w="720" w:type="dxa"/>
            <w:tcBorders>
              <w:top w:val="nil"/>
              <w:left w:val="nil"/>
              <w:bottom w:val="nil"/>
              <w:right w:val="nil"/>
            </w:tcBorders>
            <w:shd w:val="clear" w:color="000000" w:fill="C5D9F1"/>
            <w:noWrap/>
            <w:vAlign w:val="bottom"/>
            <w:hideMark/>
          </w:tcPr>
          <w:p w14:paraId="42DCA7DF"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700 000</w:t>
            </w:r>
          </w:p>
        </w:tc>
        <w:tc>
          <w:tcPr>
            <w:tcW w:w="923" w:type="dxa"/>
            <w:tcBorders>
              <w:top w:val="nil"/>
              <w:left w:val="single" w:sz="4" w:space="0" w:color="auto"/>
              <w:bottom w:val="single" w:sz="4" w:space="0" w:color="auto"/>
              <w:right w:val="single" w:sz="4" w:space="0" w:color="auto"/>
            </w:tcBorders>
            <w:shd w:val="clear" w:color="000000" w:fill="C5D9F1"/>
            <w:noWrap/>
            <w:vAlign w:val="bottom"/>
            <w:hideMark/>
          </w:tcPr>
          <w:p w14:paraId="42DCA7E0"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Durée</w:t>
            </w:r>
          </w:p>
        </w:tc>
        <w:tc>
          <w:tcPr>
            <w:tcW w:w="757" w:type="dxa"/>
            <w:tcBorders>
              <w:top w:val="nil"/>
              <w:left w:val="nil"/>
              <w:bottom w:val="single" w:sz="4" w:space="0" w:color="auto"/>
              <w:right w:val="single" w:sz="4" w:space="0" w:color="auto"/>
            </w:tcBorders>
            <w:shd w:val="clear" w:color="000000" w:fill="C5D9F1"/>
            <w:noWrap/>
            <w:vAlign w:val="bottom"/>
            <w:hideMark/>
          </w:tcPr>
          <w:p w14:paraId="42DCA7E1"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15</w:t>
            </w:r>
          </w:p>
        </w:tc>
        <w:tc>
          <w:tcPr>
            <w:tcW w:w="1751" w:type="dxa"/>
            <w:gridSpan w:val="2"/>
            <w:tcBorders>
              <w:top w:val="single" w:sz="4" w:space="0" w:color="auto"/>
              <w:left w:val="nil"/>
              <w:bottom w:val="single" w:sz="4" w:space="0" w:color="auto"/>
              <w:right w:val="single" w:sz="4" w:space="0" w:color="000000"/>
            </w:tcBorders>
            <w:shd w:val="clear" w:color="000000" w:fill="C5D9F1"/>
            <w:noWrap/>
            <w:vAlign w:val="bottom"/>
            <w:hideMark/>
          </w:tcPr>
          <w:p w14:paraId="42DCA7E2"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Construction</w:t>
            </w:r>
          </w:p>
        </w:tc>
        <w:tc>
          <w:tcPr>
            <w:tcW w:w="1014" w:type="dxa"/>
            <w:tcBorders>
              <w:top w:val="nil"/>
              <w:left w:val="nil"/>
              <w:bottom w:val="single" w:sz="4" w:space="0" w:color="auto"/>
              <w:right w:val="single" w:sz="4" w:space="0" w:color="auto"/>
            </w:tcBorders>
            <w:shd w:val="clear" w:color="000000" w:fill="C5D9F1"/>
            <w:noWrap/>
            <w:vAlign w:val="bottom"/>
            <w:hideMark/>
          </w:tcPr>
          <w:p w14:paraId="42DCA7E3"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550 000</w:t>
            </w:r>
          </w:p>
        </w:tc>
        <w:tc>
          <w:tcPr>
            <w:tcW w:w="776" w:type="dxa"/>
            <w:tcBorders>
              <w:top w:val="nil"/>
              <w:left w:val="nil"/>
              <w:bottom w:val="single" w:sz="4" w:space="0" w:color="auto"/>
              <w:right w:val="single" w:sz="8" w:space="0" w:color="auto"/>
            </w:tcBorders>
            <w:shd w:val="clear" w:color="000000" w:fill="FFFF00"/>
            <w:noWrap/>
            <w:vAlign w:val="bottom"/>
            <w:hideMark/>
          </w:tcPr>
          <w:p w14:paraId="42DCA7E4"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Durée</w:t>
            </w:r>
          </w:p>
        </w:tc>
      </w:tr>
      <w:tr w:rsidR="007E2BF4" w:rsidRPr="007E2BF4" w14:paraId="42DCA7ED" w14:textId="77777777" w:rsidTr="007E2BF4">
        <w:trPr>
          <w:trHeight w:val="225"/>
          <w:jc w:val="center"/>
        </w:trPr>
        <w:tc>
          <w:tcPr>
            <w:tcW w:w="1340" w:type="dxa"/>
            <w:tcBorders>
              <w:top w:val="nil"/>
              <w:left w:val="single" w:sz="8" w:space="0" w:color="auto"/>
              <w:bottom w:val="nil"/>
              <w:right w:val="nil"/>
            </w:tcBorders>
            <w:shd w:val="clear" w:color="000000" w:fill="C5D9F1"/>
            <w:noWrap/>
            <w:vAlign w:val="bottom"/>
            <w:hideMark/>
          </w:tcPr>
          <w:p w14:paraId="42DCA7E6" w14:textId="77777777" w:rsidR="007E2BF4" w:rsidRPr="007E2BF4" w:rsidRDefault="007E2BF4" w:rsidP="007E2BF4">
            <w:pPr>
              <w:spacing w:after="0" w:line="240" w:lineRule="auto"/>
              <w:rPr>
                <w:rFonts w:ascii="Arial" w:eastAsia="Times New Roman" w:hAnsi="Arial" w:cs="Arial"/>
                <w:b/>
                <w:bCs/>
                <w:color w:val="000000"/>
                <w:sz w:val="16"/>
                <w:szCs w:val="16"/>
                <w:lang w:eastAsia="fr-FR"/>
              </w:rPr>
            </w:pPr>
            <w:r w:rsidRPr="007E2BF4">
              <w:rPr>
                <w:rFonts w:ascii="Arial" w:eastAsia="Times New Roman" w:hAnsi="Arial" w:cs="Arial"/>
                <w:b/>
                <w:bCs/>
                <w:color w:val="000000"/>
                <w:sz w:val="16"/>
                <w:szCs w:val="16"/>
                <w:lang w:eastAsia="fr-FR"/>
              </w:rPr>
              <w:t>Loyer départ</w:t>
            </w:r>
          </w:p>
        </w:tc>
        <w:tc>
          <w:tcPr>
            <w:tcW w:w="720" w:type="dxa"/>
            <w:tcBorders>
              <w:top w:val="nil"/>
              <w:left w:val="nil"/>
              <w:bottom w:val="nil"/>
              <w:right w:val="nil"/>
            </w:tcBorders>
            <w:shd w:val="clear" w:color="000000" w:fill="C5D9F1"/>
            <w:noWrap/>
            <w:vAlign w:val="bottom"/>
            <w:hideMark/>
          </w:tcPr>
          <w:p w14:paraId="42DCA7E7"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54 000</w:t>
            </w:r>
          </w:p>
        </w:tc>
        <w:tc>
          <w:tcPr>
            <w:tcW w:w="923" w:type="dxa"/>
            <w:tcBorders>
              <w:top w:val="nil"/>
              <w:left w:val="single" w:sz="4" w:space="0" w:color="auto"/>
              <w:bottom w:val="single" w:sz="4" w:space="0" w:color="auto"/>
              <w:right w:val="single" w:sz="4" w:space="0" w:color="auto"/>
            </w:tcBorders>
            <w:shd w:val="clear" w:color="000000" w:fill="C5D9F1"/>
            <w:noWrap/>
            <w:vAlign w:val="bottom"/>
            <w:hideMark/>
          </w:tcPr>
          <w:p w14:paraId="42DCA7E8"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Échéance</w:t>
            </w:r>
          </w:p>
        </w:tc>
        <w:tc>
          <w:tcPr>
            <w:tcW w:w="757" w:type="dxa"/>
            <w:tcBorders>
              <w:top w:val="nil"/>
              <w:left w:val="nil"/>
              <w:bottom w:val="single" w:sz="4" w:space="0" w:color="auto"/>
              <w:right w:val="single" w:sz="4" w:space="0" w:color="auto"/>
            </w:tcBorders>
            <w:shd w:val="clear" w:color="000000" w:fill="C5D9F1"/>
            <w:noWrap/>
            <w:vAlign w:val="bottom"/>
            <w:hideMark/>
          </w:tcPr>
          <w:p w14:paraId="42DCA7E9"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 xml:space="preserve">51 567 </w:t>
            </w:r>
          </w:p>
        </w:tc>
        <w:tc>
          <w:tcPr>
            <w:tcW w:w="1751" w:type="dxa"/>
            <w:gridSpan w:val="2"/>
            <w:tcBorders>
              <w:top w:val="single" w:sz="4" w:space="0" w:color="auto"/>
              <w:left w:val="nil"/>
              <w:bottom w:val="single" w:sz="4" w:space="0" w:color="auto"/>
              <w:right w:val="single" w:sz="4" w:space="0" w:color="000000"/>
            </w:tcBorders>
            <w:shd w:val="clear" w:color="000000" w:fill="C5D9F1"/>
            <w:noWrap/>
            <w:vAlign w:val="bottom"/>
            <w:hideMark/>
          </w:tcPr>
          <w:p w14:paraId="42DCA7EA"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Amortissements</w:t>
            </w:r>
          </w:p>
        </w:tc>
        <w:tc>
          <w:tcPr>
            <w:tcW w:w="1014" w:type="dxa"/>
            <w:tcBorders>
              <w:top w:val="nil"/>
              <w:left w:val="nil"/>
              <w:bottom w:val="single" w:sz="4" w:space="0" w:color="auto"/>
              <w:right w:val="single" w:sz="4" w:space="0" w:color="auto"/>
            </w:tcBorders>
            <w:shd w:val="clear" w:color="000000" w:fill="C5D9F1"/>
            <w:noWrap/>
            <w:vAlign w:val="bottom"/>
            <w:hideMark/>
          </w:tcPr>
          <w:p w14:paraId="42DCA7EB"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11 000</w:t>
            </w:r>
          </w:p>
        </w:tc>
        <w:tc>
          <w:tcPr>
            <w:tcW w:w="776" w:type="dxa"/>
            <w:tcBorders>
              <w:top w:val="nil"/>
              <w:left w:val="nil"/>
              <w:bottom w:val="single" w:sz="4" w:space="0" w:color="auto"/>
              <w:right w:val="single" w:sz="8" w:space="0" w:color="auto"/>
            </w:tcBorders>
            <w:shd w:val="clear" w:color="000000" w:fill="C5D9F1"/>
            <w:noWrap/>
            <w:vAlign w:val="bottom"/>
            <w:hideMark/>
          </w:tcPr>
          <w:p w14:paraId="42DCA7EC"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50</w:t>
            </w:r>
          </w:p>
        </w:tc>
      </w:tr>
      <w:tr w:rsidR="007E2BF4" w:rsidRPr="007E2BF4" w14:paraId="42DCA7F6" w14:textId="77777777" w:rsidTr="007E2BF4">
        <w:trPr>
          <w:trHeight w:val="270"/>
          <w:jc w:val="center"/>
        </w:trPr>
        <w:tc>
          <w:tcPr>
            <w:tcW w:w="1340" w:type="dxa"/>
            <w:tcBorders>
              <w:top w:val="nil"/>
              <w:left w:val="single" w:sz="8" w:space="0" w:color="auto"/>
              <w:bottom w:val="single" w:sz="8" w:space="0" w:color="auto"/>
              <w:right w:val="nil"/>
            </w:tcBorders>
            <w:shd w:val="clear" w:color="000000" w:fill="C5D9F1"/>
            <w:noWrap/>
            <w:vAlign w:val="bottom"/>
            <w:hideMark/>
          </w:tcPr>
          <w:p w14:paraId="42DCA7EE" w14:textId="77777777" w:rsidR="007E2BF4" w:rsidRPr="007E2BF4" w:rsidRDefault="007E2BF4" w:rsidP="007E2BF4">
            <w:pPr>
              <w:spacing w:after="0" w:line="240" w:lineRule="auto"/>
              <w:rPr>
                <w:rFonts w:ascii="Arial" w:eastAsia="Times New Roman" w:hAnsi="Arial" w:cs="Arial"/>
                <w:b/>
                <w:bCs/>
                <w:color w:val="000000"/>
                <w:sz w:val="16"/>
                <w:szCs w:val="16"/>
                <w:lang w:eastAsia="fr-FR"/>
              </w:rPr>
            </w:pPr>
            <w:r w:rsidRPr="007E2BF4">
              <w:rPr>
                <w:rFonts w:ascii="Arial" w:eastAsia="Times New Roman" w:hAnsi="Arial" w:cs="Arial"/>
                <w:b/>
                <w:bCs/>
                <w:color w:val="000000"/>
                <w:sz w:val="16"/>
                <w:szCs w:val="16"/>
                <w:lang w:eastAsia="fr-FR"/>
              </w:rPr>
              <w:t>Revalorisation</w:t>
            </w:r>
          </w:p>
        </w:tc>
        <w:tc>
          <w:tcPr>
            <w:tcW w:w="720" w:type="dxa"/>
            <w:tcBorders>
              <w:top w:val="nil"/>
              <w:left w:val="nil"/>
              <w:bottom w:val="single" w:sz="8" w:space="0" w:color="auto"/>
              <w:right w:val="nil"/>
            </w:tcBorders>
            <w:shd w:val="clear" w:color="000000" w:fill="C5D9F1"/>
            <w:noWrap/>
            <w:vAlign w:val="bottom"/>
            <w:hideMark/>
          </w:tcPr>
          <w:p w14:paraId="42DCA7EF"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0,50</w:t>
            </w:r>
          </w:p>
        </w:tc>
        <w:tc>
          <w:tcPr>
            <w:tcW w:w="923" w:type="dxa"/>
            <w:tcBorders>
              <w:top w:val="nil"/>
              <w:left w:val="single" w:sz="4" w:space="0" w:color="auto"/>
              <w:bottom w:val="single" w:sz="8" w:space="0" w:color="auto"/>
              <w:right w:val="single" w:sz="4" w:space="0" w:color="auto"/>
            </w:tcBorders>
            <w:shd w:val="clear" w:color="000000" w:fill="C5D9F1"/>
            <w:noWrap/>
            <w:vAlign w:val="bottom"/>
            <w:hideMark/>
          </w:tcPr>
          <w:p w14:paraId="42DCA7F0"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Par an</w:t>
            </w:r>
          </w:p>
        </w:tc>
        <w:tc>
          <w:tcPr>
            <w:tcW w:w="757" w:type="dxa"/>
            <w:tcBorders>
              <w:top w:val="nil"/>
              <w:left w:val="nil"/>
              <w:bottom w:val="single" w:sz="8" w:space="0" w:color="auto"/>
              <w:right w:val="single" w:sz="4" w:space="0" w:color="auto"/>
            </w:tcBorders>
            <w:shd w:val="clear" w:color="000000" w:fill="C5D9F1"/>
            <w:noWrap/>
            <w:vAlign w:val="bottom"/>
            <w:hideMark/>
          </w:tcPr>
          <w:p w14:paraId="42DCA7F1"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 xml:space="preserve">618 808 </w:t>
            </w:r>
          </w:p>
        </w:tc>
        <w:tc>
          <w:tcPr>
            <w:tcW w:w="1591" w:type="dxa"/>
            <w:tcBorders>
              <w:top w:val="nil"/>
              <w:left w:val="nil"/>
              <w:bottom w:val="single" w:sz="8" w:space="0" w:color="auto"/>
              <w:right w:val="single" w:sz="4" w:space="0" w:color="auto"/>
            </w:tcBorders>
            <w:shd w:val="clear" w:color="000000" w:fill="C5D9F1"/>
            <w:noWrap/>
            <w:vAlign w:val="bottom"/>
            <w:hideMark/>
          </w:tcPr>
          <w:p w14:paraId="42DCA7F2"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Frais d'achat</w:t>
            </w:r>
          </w:p>
        </w:tc>
        <w:tc>
          <w:tcPr>
            <w:tcW w:w="160" w:type="dxa"/>
            <w:tcBorders>
              <w:top w:val="nil"/>
              <w:left w:val="nil"/>
              <w:bottom w:val="single" w:sz="8" w:space="0" w:color="auto"/>
              <w:right w:val="single" w:sz="4" w:space="0" w:color="auto"/>
            </w:tcBorders>
            <w:shd w:val="clear" w:color="000000" w:fill="C5D9F1"/>
            <w:noWrap/>
            <w:vAlign w:val="bottom"/>
            <w:hideMark/>
          </w:tcPr>
          <w:p w14:paraId="42DCA7F3"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 </w:t>
            </w:r>
          </w:p>
        </w:tc>
        <w:tc>
          <w:tcPr>
            <w:tcW w:w="1014" w:type="dxa"/>
            <w:tcBorders>
              <w:top w:val="nil"/>
              <w:left w:val="nil"/>
              <w:bottom w:val="single" w:sz="8" w:space="0" w:color="auto"/>
              <w:right w:val="single" w:sz="4" w:space="0" w:color="auto"/>
            </w:tcBorders>
            <w:shd w:val="clear" w:color="000000" w:fill="C5D9F1"/>
            <w:noWrap/>
            <w:vAlign w:val="bottom"/>
            <w:hideMark/>
          </w:tcPr>
          <w:p w14:paraId="42DCA7F4" w14:textId="77777777" w:rsidR="007E2BF4" w:rsidRPr="007E2BF4" w:rsidRDefault="007E2BF4" w:rsidP="007E2BF4">
            <w:pPr>
              <w:spacing w:after="0" w:line="240" w:lineRule="auto"/>
              <w:jc w:val="right"/>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56 000</w:t>
            </w:r>
          </w:p>
        </w:tc>
        <w:tc>
          <w:tcPr>
            <w:tcW w:w="776" w:type="dxa"/>
            <w:tcBorders>
              <w:top w:val="nil"/>
              <w:left w:val="nil"/>
              <w:bottom w:val="single" w:sz="8" w:space="0" w:color="auto"/>
              <w:right w:val="single" w:sz="8" w:space="0" w:color="auto"/>
            </w:tcBorders>
            <w:shd w:val="clear" w:color="auto" w:fill="auto"/>
            <w:noWrap/>
            <w:vAlign w:val="bottom"/>
            <w:hideMark/>
          </w:tcPr>
          <w:p w14:paraId="42DCA7F5" w14:textId="77777777" w:rsidR="007E2BF4" w:rsidRPr="007E2BF4" w:rsidRDefault="007E2BF4" w:rsidP="007E2BF4">
            <w:pPr>
              <w:spacing w:after="0" w:line="240" w:lineRule="auto"/>
              <w:rPr>
                <w:rFonts w:ascii="Arial" w:eastAsia="Times New Roman" w:hAnsi="Arial" w:cs="Arial"/>
                <w:color w:val="000000"/>
                <w:sz w:val="16"/>
                <w:szCs w:val="16"/>
                <w:lang w:eastAsia="fr-FR"/>
              </w:rPr>
            </w:pPr>
            <w:r w:rsidRPr="007E2BF4">
              <w:rPr>
                <w:rFonts w:ascii="Arial" w:eastAsia="Times New Roman" w:hAnsi="Arial" w:cs="Arial"/>
                <w:color w:val="000000"/>
                <w:sz w:val="16"/>
                <w:szCs w:val="16"/>
                <w:lang w:eastAsia="fr-FR"/>
              </w:rPr>
              <w:t> </w:t>
            </w:r>
          </w:p>
        </w:tc>
      </w:tr>
    </w:tbl>
    <w:p w14:paraId="42DCA7F7" w14:textId="77777777" w:rsidR="007E2BF4" w:rsidRDefault="007E2BF4" w:rsidP="007E2BF4">
      <w:pPr>
        <w:pStyle w:val="Sansinterligne"/>
        <w:jc w:val="both"/>
        <w:rPr>
          <w:sz w:val="24"/>
        </w:rPr>
      </w:pPr>
    </w:p>
    <w:p w14:paraId="42DCA7F9" w14:textId="589E97F1" w:rsidR="007E2BF4" w:rsidRDefault="007E2BF4" w:rsidP="007E2BF4">
      <w:pPr>
        <w:pStyle w:val="Sansinterligne"/>
        <w:jc w:val="both"/>
        <w:rPr>
          <w:sz w:val="24"/>
        </w:rPr>
      </w:pPr>
      <w:r>
        <w:rPr>
          <w:sz w:val="24"/>
        </w:rPr>
        <w:t>Aujourd’hui, plus personne ne tombe dans le premier piège qui consiste à considérer que le financement se passera sans heurt puisque le montant du loyer excède légèrement le montant de l’échéance annuelle de remboursement de l’emprunt.</w:t>
      </w:r>
      <w:r w:rsidR="00DD295E">
        <w:rPr>
          <w:sz w:val="24"/>
        </w:rPr>
        <w:t xml:space="preserve"> </w:t>
      </w:r>
      <w:r>
        <w:rPr>
          <w:sz w:val="24"/>
        </w:rPr>
        <w:t>Effectivement, c’est oublier le régime particulièrement pénalisant des revenus fonciers qui s’appliquerait immanquablement si l’acquisition devait se faire par une société civile classique, c’est-à-dire assujettie à l’impôt sur le revenu des personnes physiques.</w:t>
      </w:r>
    </w:p>
    <w:p w14:paraId="42DCA7FA" w14:textId="77777777" w:rsidR="007E2BF4" w:rsidRDefault="007E2BF4" w:rsidP="007E2BF4">
      <w:pPr>
        <w:pStyle w:val="Sansinterligne"/>
        <w:jc w:val="both"/>
        <w:rPr>
          <w:sz w:val="24"/>
        </w:rPr>
      </w:pPr>
    </w:p>
    <w:p w14:paraId="42DCA7FB" w14:textId="732D4E15" w:rsidR="007E2BF4" w:rsidRDefault="007E2BF4" w:rsidP="007E2BF4">
      <w:pPr>
        <w:pStyle w:val="Sansinterligne"/>
        <w:jc w:val="both"/>
        <w:rPr>
          <w:sz w:val="24"/>
        </w:rPr>
      </w:pPr>
      <w:r>
        <w:rPr>
          <w:sz w:val="24"/>
        </w:rPr>
        <w:t>En effet, le tableau ci-dess</w:t>
      </w:r>
      <w:r w:rsidR="00E224A4">
        <w:rPr>
          <w:sz w:val="24"/>
        </w:rPr>
        <w:t>o</w:t>
      </w:r>
      <w:r>
        <w:rPr>
          <w:sz w:val="24"/>
        </w:rPr>
        <w:t xml:space="preserve">us qui résume le financement des trois premières années démontre que notre entrepreneur devra chaque année trouver l’équivalent de l’ordre de 23 000 </w:t>
      </w:r>
      <w:r w:rsidR="00DD295E">
        <w:rPr>
          <w:sz w:val="24"/>
        </w:rPr>
        <w:t>euros</w:t>
      </w:r>
      <w:r>
        <w:rPr>
          <w:sz w:val="24"/>
        </w:rPr>
        <w:t xml:space="preserve"> afin de faire face notamment à l’insuffisance de trésorerie générée par la société civile pour</w:t>
      </w:r>
      <w:r w:rsidR="00E224A4">
        <w:rPr>
          <w:sz w:val="24"/>
        </w:rPr>
        <w:t xml:space="preserve"> ac</w:t>
      </w:r>
      <w:r>
        <w:rPr>
          <w:sz w:val="24"/>
        </w:rPr>
        <w:t>quitter son impôt sur le revenu foncier.</w:t>
      </w:r>
    </w:p>
    <w:p w14:paraId="42DCA7FC" w14:textId="638D6EDA" w:rsidR="007E2BF4" w:rsidRDefault="007E2BF4" w:rsidP="007E2BF4">
      <w:pPr>
        <w:pStyle w:val="Sansinterligne"/>
        <w:jc w:val="both"/>
        <w:rPr>
          <w:sz w:val="24"/>
        </w:rPr>
      </w:pPr>
    </w:p>
    <w:p w14:paraId="43E283CD" w14:textId="2092E2AC" w:rsidR="00DD295E" w:rsidRDefault="00DD295E" w:rsidP="007E2BF4">
      <w:pPr>
        <w:pStyle w:val="Sansinterligne"/>
        <w:jc w:val="both"/>
        <w:rPr>
          <w:sz w:val="24"/>
        </w:rPr>
      </w:pPr>
    </w:p>
    <w:p w14:paraId="3E0E98AE" w14:textId="691D8A6E" w:rsidR="00DD295E" w:rsidRDefault="00DD295E" w:rsidP="007E2BF4">
      <w:pPr>
        <w:pStyle w:val="Sansinterligne"/>
        <w:jc w:val="both"/>
        <w:rPr>
          <w:sz w:val="24"/>
        </w:rPr>
      </w:pPr>
    </w:p>
    <w:p w14:paraId="2D547E65" w14:textId="3439EF26" w:rsidR="00DD295E" w:rsidRDefault="001D452F" w:rsidP="001D452F">
      <w:pPr>
        <w:pStyle w:val="Sansinterligne"/>
        <w:jc w:val="both"/>
        <w:rPr>
          <w:sz w:val="24"/>
        </w:rPr>
      </w:pPr>
      <w:r w:rsidRPr="00B54454">
        <w:rPr>
          <w:b/>
          <w:color w:val="FF0000"/>
          <w:sz w:val="24"/>
        </w:rPr>
        <w:t>TABLEAU</w:t>
      </w:r>
      <w:r>
        <w:rPr>
          <w:b/>
          <w:color w:val="FF0000"/>
          <w:sz w:val="24"/>
        </w:rPr>
        <w:t xml:space="preserve"> 3</w:t>
      </w:r>
    </w:p>
    <w:p w14:paraId="2AC9DB8A" w14:textId="3B5CA64F" w:rsidR="00DD295E" w:rsidRDefault="00DD295E" w:rsidP="007E2BF4">
      <w:pPr>
        <w:pStyle w:val="Sansinterligne"/>
        <w:jc w:val="both"/>
        <w:rPr>
          <w:sz w:val="24"/>
        </w:rPr>
      </w:pPr>
    </w:p>
    <w:p w14:paraId="6C64E62F" w14:textId="053692C5" w:rsidR="00DD295E" w:rsidRDefault="00DD295E" w:rsidP="007E2BF4">
      <w:pPr>
        <w:pStyle w:val="Sansinterligne"/>
        <w:jc w:val="both"/>
        <w:rPr>
          <w:sz w:val="24"/>
        </w:rPr>
      </w:pPr>
    </w:p>
    <w:p w14:paraId="19A94A03" w14:textId="166297CD" w:rsidR="00DD295E" w:rsidRDefault="00DD295E" w:rsidP="007E2BF4">
      <w:pPr>
        <w:pStyle w:val="Sansinterligne"/>
        <w:jc w:val="both"/>
        <w:rPr>
          <w:sz w:val="24"/>
        </w:rPr>
      </w:pPr>
    </w:p>
    <w:p w14:paraId="5F665E53" w14:textId="77777777" w:rsidR="00DD295E" w:rsidRDefault="00DD295E" w:rsidP="007E2BF4">
      <w:pPr>
        <w:pStyle w:val="Sansinterligne"/>
        <w:jc w:val="both"/>
        <w:rPr>
          <w:sz w:val="24"/>
        </w:rPr>
      </w:pPr>
    </w:p>
    <w:tbl>
      <w:tblPr>
        <w:tblW w:w="3700" w:type="dxa"/>
        <w:jc w:val="center"/>
        <w:tblCellMar>
          <w:left w:w="70" w:type="dxa"/>
          <w:right w:w="70" w:type="dxa"/>
        </w:tblCellMar>
        <w:tblLook w:val="04A0" w:firstRow="1" w:lastRow="0" w:firstColumn="1" w:lastColumn="0" w:noHBand="0" w:noVBand="1"/>
      </w:tblPr>
      <w:tblGrid>
        <w:gridCol w:w="1280"/>
        <w:gridCol w:w="840"/>
        <w:gridCol w:w="760"/>
        <w:gridCol w:w="820"/>
      </w:tblGrid>
      <w:tr w:rsidR="007E2BF4" w:rsidRPr="007E2BF4" w14:paraId="42DCA801" w14:textId="77777777" w:rsidTr="007E2BF4">
        <w:trPr>
          <w:trHeight w:val="240"/>
          <w:jc w:val="center"/>
        </w:trPr>
        <w:tc>
          <w:tcPr>
            <w:tcW w:w="1280" w:type="dxa"/>
            <w:tcBorders>
              <w:top w:val="single" w:sz="8" w:space="0" w:color="auto"/>
              <w:left w:val="single" w:sz="8" w:space="0" w:color="auto"/>
              <w:bottom w:val="nil"/>
              <w:right w:val="nil"/>
            </w:tcBorders>
            <w:shd w:val="clear" w:color="auto" w:fill="auto"/>
            <w:noWrap/>
            <w:vAlign w:val="bottom"/>
            <w:hideMark/>
          </w:tcPr>
          <w:p w14:paraId="42DCA7FD" w14:textId="48EC1D20"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AN</w:t>
            </w:r>
            <w:r w:rsidR="00DD295E">
              <w:rPr>
                <w:rFonts w:ascii="Arial" w:eastAsia="Times New Roman" w:hAnsi="Arial" w:cs="Arial"/>
                <w:b/>
                <w:bCs/>
                <w:sz w:val="16"/>
                <w:szCs w:val="16"/>
                <w:lang w:eastAsia="fr-FR"/>
              </w:rPr>
              <w:t>NEES</w:t>
            </w:r>
          </w:p>
        </w:tc>
        <w:tc>
          <w:tcPr>
            <w:tcW w:w="8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2DCA7FE"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2020</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7FF"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2021</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14:paraId="42DCA800"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2022</w:t>
            </w:r>
          </w:p>
        </w:tc>
      </w:tr>
      <w:tr w:rsidR="007E2BF4" w:rsidRPr="007E2BF4" w14:paraId="42DCA806" w14:textId="77777777" w:rsidTr="007E2BF4">
        <w:trPr>
          <w:trHeight w:val="225"/>
          <w:jc w:val="center"/>
        </w:trPr>
        <w:tc>
          <w:tcPr>
            <w:tcW w:w="1280" w:type="dxa"/>
            <w:tcBorders>
              <w:top w:val="single" w:sz="8" w:space="0" w:color="auto"/>
              <w:left w:val="single" w:sz="8" w:space="0" w:color="auto"/>
              <w:bottom w:val="nil"/>
              <w:right w:val="nil"/>
            </w:tcBorders>
            <w:shd w:val="clear" w:color="auto" w:fill="auto"/>
            <w:noWrap/>
            <w:vAlign w:val="bottom"/>
            <w:hideMark/>
          </w:tcPr>
          <w:p w14:paraId="42DCA802"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SCI IR</w:t>
            </w:r>
          </w:p>
        </w:tc>
        <w:tc>
          <w:tcPr>
            <w:tcW w:w="8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2DCA803"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1</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804"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14:paraId="42DCA805"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3</w:t>
            </w:r>
          </w:p>
        </w:tc>
      </w:tr>
      <w:tr w:rsidR="007E2BF4" w:rsidRPr="007E2BF4" w14:paraId="42DCA80B" w14:textId="77777777" w:rsidTr="007E2BF4">
        <w:trPr>
          <w:trHeight w:val="225"/>
          <w:jc w:val="center"/>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DCA807"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Loyer</w:t>
            </w:r>
          </w:p>
        </w:tc>
        <w:tc>
          <w:tcPr>
            <w:tcW w:w="840" w:type="dxa"/>
            <w:tcBorders>
              <w:top w:val="nil"/>
              <w:left w:val="nil"/>
              <w:bottom w:val="single" w:sz="4" w:space="0" w:color="auto"/>
              <w:right w:val="single" w:sz="4" w:space="0" w:color="auto"/>
            </w:tcBorders>
            <w:shd w:val="clear" w:color="auto" w:fill="auto"/>
            <w:noWrap/>
            <w:vAlign w:val="bottom"/>
            <w:hideMark/>
          </w:tcPr>
          <w:p w14:paraId="42DCA808"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54 000</w:t>
            </w:r>
          </w:p>
        </w:tc>
        <w:tc>
          <w:tcPr>
            <w:tcW w:w="760" w:type="dxa"/>
            <w:tcBorders>
              <w:top w:val="nil"/>
              <w:left w:val="nil"/>
              <w:bottom w:val="single" w:sz="4" w:space="0" w:color="auto"/>
              <w:right w:val="single" w:sz="4" w:space="0" w:color="auto"/>
            </w:tcBorders>
            <w:shd w:val="clear" w:color="auto" w:fill="auto"/>
            <w:noWrap/>
            <w:vAlign w:val="bottom"/>
            <w:hideMark/>
          </w:tcPr>
          <w:p w14:paraId="42DCA809"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54 270</w:t>
            </w:r>
          </w:p>
        </w:tc>
        <w:tc>
          <w:tcPr>
            <w:tcW w:w="820" w:type="dxa"/>
            <w:tcBorders>
              <w:top w:val="nil"/>
              <w:left w:val="nil"/>
              <w:bottom w:val="single" w:sz="4" w:space="0" w:color="auto"/>
              <w:right w:val="single" w:sz="4" w:space="0" w:color="auto"/>
            </w:tcBorders>
            <w:shd w:val="clear" w:color="auto" w:fill="auto"/>
            <w:noWrap/>
            <w:vAlign w:val="bottom"/>
            <w:hideMark/>
          </w:tcPr>
          <w:p w14:paraId="42DCA80A"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54 541</w:t>
            </w:r>
          </w:p>
        </w:tc>
      </w:tr>
      <w:tr w:rsidR="007E2BF4" w:rsidRPr="007E2BF4" w14:paraId="42DCA810"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0C"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intérêts</w:t>
            </w:r>
          </w:p>
        </w:tc>
        <w:tc>
          <w:tcPr>
            <w:tcW w:w="840" w:type="dxa"/>
            <w:tcBorders>
              <w:top w:val="nil"/>
              <w:left w:val="nil"/>
              <w:bottom w:val="single" w:sz="4" w:space="0" w:color="auto"/>
              <w:right w:val="single" w:sz="4" w:space="0" w:color="auto"/>
            </w:tcBorders>
            <w:shd w:val="clear" w:color="auto" w:fill="auto"/>
            <w:noWrap/>
            <w:vAlign w:val="bottom"/>
            <w:hideMark/>
          </w:tcPr>
          <w:p w14:paraId="42DCA80D"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8 925 </w:t>
            </w:r>
          </w:p>
        </w:tc>
        <w:tc>
          <w:tcPr>
            <w:tcW w:w="760" w:type="dxa"/>
            <w:tcBorders>
              <w:top w:val="nil"/>
              <w:left w:val="nil"/>
              <w:bottom w:val="single" w:sz="4" w:space="0" w:color="auto"/>
              <w:right w:val="single" w:sz="4" w:space="0" w:color="auto"/>
            </w:tcBorders>
            <w:shd w:val="clear" w:color="auto" w:fill="auto"/>
            <w:noWrap/>
            <w:vAlign w:val="bottom"/>
            <w:hideMark/>
          </w:tcPr>
          <w:p w14:paraId="42DCA80E"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8 381 </w:t>
            </w:r>
          </w:p>
        </w:tc>
        <w:tc>
          <w:tcPr>
            <w:tcW w:w="820" w:type="dxa"/>
            <w:tcBorders>
              <w:top w:val="nil"/>
              <w:left w:val="nil"/>
              <w:bottom w:val="single" w:sz="4" w:space="0" w:color="auto"/>
              <w:right w:val="single" w:sz="4" w:space="0" w:color="auto"/>
            </w:tcBorders>
            <w:shd w:val="clear" w:color="auto" w:fill="auto"/>
            <w:noWrap/>
            <w:vAlign w:val="bottom"/>
            <w:hideMark/>
          </w:tcPr>
          <w:p w14:paraId="42DCA80F"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7 831 </w:t>
            </w:r>
          </w:p>
        </w:tc>
      </w:tr>
      <w:tr w:rsidR="007E2BF4" w:rsidRPr="007E2BF4" w14:paraId="42DCA815"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11"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Revenu</w:t>
            </w:r>
          </w:p>
        </w:tc>
        <w:tc>
          <w:tcPr>
            <w:tcW w:w="840" w:type="dxa"/>
            <w:tcBorders>
              <w:top w:val="nil"/>
              <w:left w:val="nil"/>
              <w:bottom w:val="single" w:sz="4" w:space="0" w:color="auto"/>
              <w:right w:val="single" w:sz="4" w:space="0" w:color="auto"/>
            </w:tcBorders>
            <w:shd w:val="clear" w:color="auto" w:fill="auto"/>
            <w:noWrap/>
            <w:vAlign w:val="bottom"/>
            <w:hideMark/>
          </w:tcPr>
          <w:p w14:paraId="42DCA812"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45 075</w:t>
            </w:r>
          </w:p>
        </w:tc>
        <w:tc>
          <w:tcPr>
            <w:tcW w:w="760" w:type="dxa"/>
            <w:tcBorders>
              <w:top w:val="nil"/>
              <w:left w:val="nil"/>
              <w:bottom w:val="single" w:sz="4" w:space="0" w:color="auto"/>
              <w:right w:val="single" w:sz="4" w:space="0" w:color="auto"/>
            </w:tcBorders>
            <w:shd w:val="clear" w:color="auto" w:fill="auto"/>
            <w:noWrap/>
            <w:vAlign w:val="bottom"/>
            <w:hideMark/>
          </w:tcPr>
          <w:p w14:paraId="42DCA813"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45 889</w:t>
            </w:r>
          </w:p>
        </w:tc>
        <w:tc>
          <w:tcPr>
            <w:tcW w:w="820" w:type="dxa"/>
            <w:tcBorders>
              <w:top w:val="nil"/>
              <w:left w:val="nil"/>
              <w:bottom w:val="single" w:sz="4" w:space="0" w:color="auto"/>
              <w:right w:val="single" w:sz="4" w:space="0" w:color="auto"/>
            </w:tcBorders>
            <w:shd w:val="clear" w:color="auto" w:fill="auto"/>
            <w:noWrap/>
            <w:vAlign w:val="bottom"/>
            <w:hideMark/>
          </w:tcPr>
          <w:p w14:paraId="42DCA814"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46 711</w:t>
            </w:r>
          </w:p>
        </w:tc>
      </w:tr>
      <w:tr w:rsidR="007E2BF4" w:rsidRPr="007E2BF4" w14:paraId="42DCA81A"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16"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c>
          <w:tcPr>
            <w:tcW w:w="840" w:type="dxa"/>
            <w:tcBorders>
              <w:top w:val="nil"/>
              <w:left w:val="nil"/>
              <w:bottom w:val="single" w:sz="4" w:space="0" w:color="auto"/>
              <w:right w:val="single" w:sz="4" w:space="0" w:color="auto"/>
            </w:tcBorders>
            <w:shd w:val="clear" w:color="auto" w:fill="auto"/>
            <w:noWrap/>
            <w:vAlign w:val="bottom"/>
            <w:hideMark/>
          </w:tcPr>
          <w:p w14:paraId="42DCA817"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c>
          <w:tcPr>
            <w:tcW w:w="760" w:type="dxa"/>
            <w:tcBorders>
              <w:top w:val="nil"/>
              <w:left w:val="nil"/>
              <w:bottom w:val="single" w:sz="4" w:space="0" w:color="auto"/>
              <w:right w:val="single" w:sz="4" w:space="0" w:color="auto"/>
            </w:tcBorders>
            <w:shd w:val="clear" w:color="auto" w:fill="auto"/>
            <w:noWrap/>
            <w:vAlign w:val="bottom"/>
            <w:hideMark/>
          </w:tcPr>
          <w:p w14:paraId="42DCA818"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14:paraId="42DCA819"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r>
      <w:tr w:rsidR="007E2BF4" w:rsidRPr="007E2BF4" w14:paraId="42DCA81F"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1B"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Encaissement</w:t>
            </w:r>
          </w:p>
        </w:tc>
        <w:tc>
          <w:tcPr>
            <w:tcW w:w="840" w:type="dxa"/>
            <w:tcBorders>
              <w:top w:val="nil"/>
              <w:left w:val="nil"/>
              <w:bottom w:val="single" w:sz="4" w:space="0" w:color="auto"/>
              <w:right w:val="single" w:sz="4" w:space="0" w:color="auto"/>
            </w:tcBorders>
            <w:shd w:val="clear" w:color="auto" w:fill="auto"/>
            <w:noWrap/>
            <w:vAlign w:val="bottom"/>
            <w:hideMark/>
          </w:tcPr>
          <w:p w14:paraId="42DCA81C"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54 000</w:t>
            </w:r>
          </w:p>
        </w:tc>
        <w:tc>
          <w:tcPr>
            <w:tcW w:w="760" w:type="dxa"/>
            <w:tcBorders>
              <w:top w:val="nil"/>
              <w:left w:val="nil"/>
              <w:bottom w:val="single" w:sz="4" w:space="0" w:color="auto"/>
              <w:right w:val="single" w:sz="4" w:space="0" w:color="auto"/>
            </w:tcBorders>
            <w:shd w:val="clear" w:color="auto" w:fill="auto"/>
            <w:noWrap/>
            <w:vAlign w:val="bottom"/>
            <w:hideMark/>
          </w:tcPr>
          <w:p w14:paraId="42DCA81D"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54 270</w:t>
            </w:r>
          </w:p>
        </w:tc>
        <w:tc>
          <w:tcPr>
            <w:tcW w:w="820" w:type="dxa"/>
            <w:tcBorders>
              <w:top w:val="nil"/>
              <w:left w:val="nil"/>
              <w:bottom w:val="single" w:sz="4" w:space="0" w:color="auto"/>
              <w:right w:val="single" w:sz="4" w:space="0" w:color="auto"/>
            </w:tcBorders>
            <w:shd w:val="clear" w:color="auto" w:fill="auto"/>
            <w:noWrap/>
            <w:vAlign w:val="bottom"/>
            <w:hideMark/>
          </w:tcPr>
          <w:p w14:paraId="42DCA81E"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54 541</w:t>
            </w:r>
          </w:p>
        </w:tc>
      </w:tr>
      <w:tr w:rsidR="007E2BF4" w:rsidRPr="007E2BF4" w14:paraId="42DCA824" w14:textId="77777777" w:rsidTr="007E2BF4">
        <w:trPr>
          <w:trHeight w:val="240"/>
          <w:jc w:val="center"/>
        </w:trPr>
        <w:tc>
          <w:tcPr>
            <w:tcW w:w="1280" w:type="dxa"/>
            <w:tcBorders>
              <w:top w:val="nil"/>
              <w:left w:val="single" w:sz="8" w:space="0" w:color="auto"/>
              <w:bottom w:val="nil"/>
              <w:right w:val="single" w:sz="4" w:space="0" w:color="auto"/>
            </w:tcBorders>
            <w:shd w:val="clear" w:color="auto" w:fill="auto"/>
            <w:noWrap/>
            <w:vAlign w:val="bottom"/>
            <w:hideMark/>
          </w:tcPr>
          <w:p w14:paraId="42DCA820"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Emprunt</w:t>
            </w:r>
          </w:p>
        </w:tc>
        <w:tc>
          <w:tcPr>
            <w:tcW w:w="840" w:type="dxa"/>
            <w:tcBorders>
              <w:top w:val="nil"/>
              <w:left w:val="nil"/>
              <w:bottom w:val="nil"/>
              <w:right w:val="single" w:sz="4" w:space="0" w:color="auto"/>
            </w:tcBorders>
            <w:shd w:val="clear" w:color="auto" w:fill="auto"/>
            <w:noWrap/>
            <w:vAlign w:val="bottom"/>
            <w:hideMark/>
          </w:tcPr>
          <w:p w14:paraId="42DCA821"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51 567 </w:t>
            </w:r>
          </w:p>
        </w:tc>
        <w:tc>
          <w:tcPr>
            <w:tcW w:w="760" w:type="dxa"/>
            <w:tcBorders>
              <w:top w:val="nil"/>
              <w:left w:val="nil"/>
              <w:bottom w:val="nil"/>
              <w:right w:val="single" w:sz="4" w:space="0" w:color="auto"/>
            </w:tcBorders>
            <w:shd w:val="clear" w:color="auto" w:fill="auto"/>
            <w:noWrap/>
            <w:vAlign w:val="bottom"/>
            <w:hideMark/>
          </w:tcPr>
          <w:p w14:paraId="42DCA822"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51 567 </w:t>
            </w:r>
          </w:p>
        </w:tc>
        <w:tc>
          <w:tcPr>
            <w:tcW w:w="820" w:type="dxa"/>
            <w:tcBorders>
              <w:top w:val="nil"/>
              <w:left w:val="nil"/>
              <w:bottom w:val="nil"/>
              <w:right w:val="single" w:sz="4" w:space="0" w:color="auto"/>
            </w:tcBorders>
            <w:shd w:val="clear" w:color="auto" w:fill="auto"/>
            <w:noWrap/>
            <w:vAlign w:val="bottom"/>
            <w:hideMark/>
          </w:tcPr>
          <w:p w14:paraId="42DCA823"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51 567 </w:t>
            </w:r>
          </w:p>
        </w:tc>
      </w:tr>
      <w:tr w:rsidR="007E2BF4" w:rsidRPr="007E2BF4" w14:paraId="42DCA829" w14:textId="77777777" w:rsidTr="007E2BF4">
        <w:trPr>
          <w:trHeight w:val="240"/>
          <w:jc w:val="center"/>
        </w:trPr>
        <w:tc>
          <w:tcPr>
            <w:tcW w:w="1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DCA825"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Impôt</w:t>
            </w:r>
          </w:p>
        </w:tc>
        <w:tc>
          <w:tcPr>
            <w:tcW w:w="840" w:type="dxa"/>
            <w:tcBorders>
              <w:top w:val="single" w:sz="8" w:space="0" w:color="auto"/>
              <w:left w:val="nil"/>
              <w:bottom w:val="single" w:sz="8" w:space="0" w:color="auto"/>
              <w:right w:val="single" w:sz="4" w:space="0" w:color="auto"/>
            </w:tcBorders>
            <w:shd w:val="clear" w:color="000000" w:fill="FFFF00"/>
            <w:noWrap/>
            <w:vAlign w:val="bottom"/>
            <w:hideMark/>
          </w:tcPr>
          <w:p w14:paraId="42DCA826"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26 144</w:t>
            </w:r>
          </w:p>
        </w:tc>
        <w:tc>
          <w:tcPr>
            <w:tcW w:w="760" w:type="dxa"/>
            <w:tcBorders>
              <w:top w:val="single" w:sz="8" w:space="0" w:color="auto"/>
              <w:left w:val="nil"/>
              <w:bottom w:val="single" w:sz="8" w:space="0" w:color="auto"/>
              <w:right w:val="single" w:sz="4" w:space="0" w:color="auto"/>
            </w:tcBorders>
            <w:shd w:val="clear" w:color="000000" w:fill="FFFF00"/>
            <w:noWrap/>
            <w:vAlign w:val="bottom"/>
            <w:hideMark/>
          </w:tcPr>
          <w:p w14:paraId="42DCA827"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26 615</w:t>
            </w:r>
          </w:p>
        </w:tc>
        <w:tc>
          <w:tcPr>
            <w:tcW w:w="820" w:type="dxa"/>
            <w:tcBorders>
              <w:top w:val="single" w:sz="8" w:space="0" w:color="auto"/>
              <w:left w:val="nil"/>
              <w:bottom w:val="single" w:sz="8" w:space="0" w:color="auto"/>
              <w:right w:val="single" w:sz="4" w:space="0" w:color="auto"/>
            </w:tcBorders>
            <w:shd w:val="clear" w:color="000000" w:fill="FFFF00"/>
            <w:noWrap/>
            <w:vAlign w:val="bottom"/>
            <w:hideMark/>
          </w:tcPr>
          <w:p w14:paraId="42DCA828"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27 092</w:t>
            </w:r>
          </w:p>
        </w:tc>
      </w:tr>
      <w:tr w:rsidR="007E2BF4" w:rsidRPr="007E2BF4" w14:paraId="42DCA82E"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2A" w14:textId="77777777" w:rsidR="007E2BF4" w:rsidRPr="007E2BF4" w:rsidRDefault="007E2BF4" w:rsidP="007E2BF4">
            <w:pPr>
              <w:spacing w:after="0" w:line="240" w:lineRule="auto"/>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Solde</w:t>
            </w:r>
          </w:p>
        </w:tc>
        <w:tc>
          <w:tcPr>
            <w:tcW w:w="840" w:type="dxa"/>
            <w:tcBorders>
              <w:top w:val="nil"/>
              <w:left w:val="nil"/>
              <w:bottom w:val="single" w:sz="4" w:space="0" w:color="auto"/>
              <w:right w:val="single" w:sz="4" w:space="0" w:color="auto"/>
            </w:tcBorders>
            <w:shd w:val="clear" w:color="auto" w:fill="auto"/>
            <w:noWrap/>
            <w:vAlign w:val="bottom"/>
            <w:hideMark/>
          </w:tcPr>
          <w:p w14:paraId="42DCA82B" w14:textId="77777777" w:rsidR="007E2BF4" w:rsidRPr="007E2BF4" w:rsidRDefault="007E2BF4" w:rsidP="007E2BF4">
            <w:pPr>
              <w:spacing w:after="0" w:line="240" w:lineRule="auto"/>
              <w:jc w:val="right"/>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-23 711</w:t>
            </w:r>
          </w:p>
        </w:tc>
        <w:tc>
          <w:tcPr>
            <w:tcW w:w="760" w:type="dxa"/>
            <w:tcBorders>
              <w:top w:val="nil"/>
              <w:left w:val="nil"/>
              <w:bottom w:val="single" w:sz="4" w:space="0" w:color="auto"/>
              <w:right w:val="single" w:sz="4" w:space="0" w:color="auto"/>
            </w:tcBorders>
            <w:shd w:val="clear" w:color="auto" w:fill="auto"/>
            <w:noWrap/>
            <w:vAlign w:val="bottom"/>
            <w:hideMark/>
          </w:tcPr>
          <w:p w14:paraId="42DCA82C" w14:textId="77777777" w:rsidR="007E2BF4" w:rsidRPr="007E2BF4" w:rsidRDefault="007E2BF4" w:rsidP="007E2BF4">
            <w:pPr>
              <w:spacing w:after="0" w:line="240" w:lineRule="auto"/>
              <w:jc w:val="right"/>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-23 913</w:t>
            </w:r>
          </w:p>
        </w:tc>
        <w:tc>
          <w:tcPr>
            <w:tcW w:w="820" w:type="dxa"/>
            <w:tcBorders>
              <w:top w:val="nil"/>
              <w:left w:val="nil"/>
              <w:bottom w:val="single" w:sz="4" w:space="0" w:color="auto"/>
              <w:right w:val="single" w:sz="4" w:space="0" w:color="auto"/>
            </w:tcBorders>
            <w:shd w:val="clear" w:color="auto" w:fill="auto"/>
            <w:noWrap/>
            <w:vAlign w:val="bottom"/>
            <w:hideMark/>
          </w:tcPr>
          <w:p w14:paraId="42DCA82D" w14:textId="77777777" w:rsidR="007E2BF4" w:rsidRPr="007E2BF4" w:rsidRDefault="007E2BF4" w:rsidP="007E2BF4">
            <w:pPr>
              <w:spacing w:after="0" w:line="240" w:lineRule="auto"/>
              <w:jc w:val="right"/>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-24 118</w:t>
            </w:r>
          </w:p>
        </w:tc>
      </w:tr>
    </w:tbl>
    <w:p w14:paraId="42DCA82F" w14:textId="77777777" w:rsidR="008311DA" w:rsidRDefault="008311DA" w:rsidP="007E2BF4">
      <w:pPr>
        <w:pStyle w:val="Sansinterligne"/>
        <w:jc w:val="both"/>
        <w:rPr>
          <w:sz w:val="24"/>
        </w:rPr>
      </w:pPr>
    </w:p>
    <w:p w14:paraId="42DCA830" w14:textId="0C4B5913" w:rsidR="007E2BF4" w:rsidRDefault="007E2BF4" w:rsidP="007E2BF4">
      <w:pPr>
        <w:pStyle w:val="Sansinterligne"/>
        <w:jc w:val="both"/>
        <w:rPr>
          <w:sz w:val="24"/>
        </w:rPr>
      </w:pPr>
      <w:r>
        <w:rPr>
          <w:sz w:val="24"/>
        </w:rPr>
        <w:t>De plus, cela ne s’arrange guère avec le temps, en tous les cas</w:t>
      </w:r>
      <w:r w:rsidR="00E224A4">
        <w:rPr>
          <w:sz w:val="24"/>
        </w:rPr>
        <w:t>,</w:t>
      </w:r>
      <w:r>
        <w:rPr>
          <w:sz w:val="24"/>
        </w:rPr>
        <w:t xml:space="preserve"> pas avant le remboursement complet de l’emprunt d’acquisition, ainsi que le démontre le tableau suivant qui présente dans sa dernière ligne le montant cumulé de l’investissement personnel complémentaire que devra faire notre audacieux entrepreneur.</w:t>
      </w:r>
    </w:p>
    <w:p w14:paraId="41A4D4B7" w14:textId="08EF60DD" w:rsidR="001D452F" w:rsidRDefault="001D452F" w:rsidP="007E2BF4">
      <w:pPr>
        <w:pStyle w:val="Sansinterligne"/>
        <w:jc w:val="both"/>
        <w:rPr>
          <w:sz w:val="24"/>
        </w:rPr>
      </w:pPr>
    </w:p>
    <w:p w14:paraId="6263B9C7" w14:textId="5A013BF4" w:rsidR="001D452F" w:rsidRDefault="001D452F" w:rsidP="001D452F">
      <w:pPr>
        <w:pStyle w:val="Sansinterligne"/>
        <w:jc w:val="both"/>
        <w:rPr>
          <w:sz w:val="24"/>
        </w:rPr>
      </w:pPr>
      <w:r w:rsidRPr="00B54454">
        <w:rPr>
          <w:b/>
          <w:color w:val="FF0000"/>
          <w:sz w:val="24"/>
        </w:rPr>
        <w:t>TABLEAU</w:t>
      </w:r>
      <w:r>
        <w:rPr>
          <w:b/>
          <w:color w:val="FF0000"/>
          <w:sz w:val="24"/>
        </w:rPr>
        <w:t xml:space="preserve"> 4</w:t>
      </w:r>
    </w:p>
    <w:p w14:paraId="42DCA831" w14:textId="77777777" w:rsidR="007E2BF4" w:rsidRDefault="007E2BF4" w:rsidP="007E2BF4">
      <w:pPr>
        <w:pStyle w:val="Sansinterligne"/>
        <w:jc w:val="both"/>
        <w:rPr>
          <w:sz w:val="24"/>
        </w:rPr>
      </w:pPr>
    </w:p>
    <w:tbl>
      <w:tblPr>
        <w:tblW w:w="4320" w:type="dxa"/>
        <w:jc w:val="center"/>
        <w:tblCellMar>
          <w:left w:w="70" w:type="dxa"/>
          <w:right w:w="70" w:type="dxa"/>
        </w:tblCellMar>
        <w:tblLook w:val="04A0" w:firstRow="1" w:lastRow="0" w:firstColumn="1" w:lastColumn="0" w:noHBand="0" w:noVBand="1"/>
      </w:tblPr>
      <w:tblGrid>
        <w:gridCol w:w="1280"/>
        <w:gridCol w:w="760"/>
        <w:gridCol w:w="760"/>
        <w:gridCol w:w="760"/>
        <w:gridCol w:w="760"/>
      </w:tblGrid>
      <w:tr w:rsidR="007E2BF4" w:rsidRPr="007E2BF4" w14:paraId="42DCA837" w14:textId="77777777" w:rsidTr="00DD295E">
        <w:trPr>
          <w:trHeight w:val="24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A832" w14:textId="54D3B59B"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AN</w:t>
            </w:r>
            <w:r w:rsidR="00DD295E">
              <w:rPr>
                <w:rFonts w:ascii="Arial" w:eastAsia="Times New Roman" w:hAnsi="Arial" w:cs="Arial"/>
                <w:b/>
                <w:bCs/>
                <w:sz w:val="16"/>
                <w:szCs w:val="16"/>
                <w:lang w:eastAsia="fr-FR"/>
              </w:rPr>
              <w:t>NEES</w:t>
            </w:r>
          </w:p>
        </w:tc>
        <w:tc>
          <w:tcPr>
            <w:tcW w:w="7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2DCA833"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2031</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834"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2032</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835"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2033</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836"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2034</w:t>
            </w:r>
          </w:p>
        </w:tc>
      </w:tr>
      <w:tr w:rsidR="007E2BF4" w:rsidRPr="007E2BF4" w14:paraId="42DCA83D" w14:textId="77777777" w:rsidTr="00DD295E">
        <w:trPr>
          <w:trHeight w:val="225"/>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A838"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SCI IR</w:t>
            </w:r>
          </w:p>
        </w:tc>
        <w:tc>
          <w:tcPr>
            <w:tcW w:w="7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2DCA839"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12</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83A"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13</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83B"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14</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42DCA83C" w14:textId="77777777" w:rsidR="007E2BF4" w:rsidRPr="007E2BF4" w:rsidRDefault="007E2BF4" w:rsidP="007E2BF4">
            <w:pPr>
              <w:spacing w:after="0" w:line="240" w:lineRule="auto"/>
              <w:jc w:val="center"/>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15</w:t>
            </w:r>
          </w:p>
        </w:tc>
      </w:tr>
      <w:tr w:rsidR="007E2BF4" w:rsidRPr="007E2BF4" w14:paraId="42DCA843" w14:textId="77777777" w:rsidTr="00DD295E">
        <w:trPr>
          <w:trHeight w:val="225"/>
          <w:jc w:val="center"/>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DCA83E"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Loyer</w:t>
            </w:r>
          </w:p>
        </w:tc>
        <w:tc>
          <w:tcPr>
            <w:tcW w:w="760" w:type="dxa"/>
            <w:tcBorders>
              <w:top w:val="nil"/>
              <w:left w:val="nil"/>
              <w:bottom w:val="single" w:sz="4" w:space="0" w:color="auto"/>
              <w:right w:val="single" w:sz="4" w:space="0" w:color="auto"/>
            </w:tcBorders>
            <w:shd w:val="clear" w:color="auto" w:fill="auto"/>
            <w:noWrap/>
            <w:vAlign w:val="bottom"/>
            <w:hideMark/>
          </w:tcPr>
          <w:p w14:paraId="42DCA83F"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57 045</w:t>
            </w:r>
          </w:p>
        </w:tc>
        <w:tc>
          <w:tcPr>
            <w:tcW w:w="760" w:type="dxa"/>
            <w:tcBorders>
              <w:top w:val="nil"/>
              <w:left w:val="nil"/>
              <w:bottom w:val="single" w:sz="4" w:space="0" w:color="auto"/>
              <w:right w:val="single" w:sz="4" w:space="0" w:color="auto"/>
            </w:tcBorders>
            <w:shd w:val="clear" w:color="auto" w:fill="auto"/>
            <w:noWrap/>
            <w:vAlign w:val="bottom"/>
            <w:hideMark/>
          </w:tcPr>
          <w:p w14:paraId="42DCA840"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57 331</w:t>
            </w:r>
          </w:p>
        </w:tc>
        <w:tc>
          <w:tcPr>
            <w:tcW w:w="760" w:type="dxa"/>
            <w:tcBorders>
              <w:top w:val="nil"/>
              <w:left w:val="nil"/>
              <w:bottom w:val="single" w:sz="4" w:space="0" w:color="auto"/>
              <w:right w:val="single" w:sz="4" w:space="0" w:color="auto"/>
            </w:tcBorders>
            <w:shd w:val="clear" w:color="auto" w:fill="auto"/>
            <w:noWrap/>
            <w:vAlign w:val="bottom"/>
            <w:hideMark/>
          </w:tcPr>
          <w:p w14:paraId="42DCA841"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57 617</w:t>
            </w:r>
          </w:p>
        </w:tc>
        <w:tc>
          <w:tcPr>
            <w:tcW w:w="760" w:type="dxa"/>
            <w:tcBorders>
              <w:top w:val="nil"/>
              <w:left w:val="nil"/>
              <w:bottom w:val="single" w:sz="4" w:space="0" w:color="auto"/>
              <w:right w:val="single" w:sz="4" w:space="0" w:color="auto"/>
            </w:tcBorders>
            <w:shd w:val="clear" w:color="auto" w:fill="auto"/>
            <w:noWrap/>
            <w:vAlign w:val="bottom"/>
            <w:hideMark/>
          </w:tcPr>
          <w:p w14:paraId="42DCA842"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57 905</w:t>
            </w:r>
          </w:p>
        </w:tc>
      </w:tr>
      <w:tr w:rsidR="007E2BF4" w:rsidRPr="007E2BF4" w14:paraId="42DCA849"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44"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intérêts</w:t>
            </w:r>
          </w:p>
        </w:tc>
        <w:tc>
          <w:tcPr>
            <w:tcW w:w="760" w:type="dxa"/>
            <w:tcBorders>
              <w:top w:val="nil"/>
              <w:left w:val="nil"/>
              <w:bottom w:val="single" w:sz="4" w:space="0" w:color="auto"/>
              <w:right w:val="single" w:sz="4" w:space="0" w:color="auto"/>
            </w:tcBorders>
            <w:shd w:val="clear" w:color="auto" w:fill="auto"/>
            <w:noWrap/>
            <w:vAlign w:val="bottom"/>
            <w:hideMark/>
          </w:tcPr>
          <w:p w14:paraId="42DCA845"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2 548 </w:t>
            </w:r>
          </w:p>
        </w:tc>
        <w:tc>
          <w:tcPr>
            <w:tcW w:w="760" w:type="dxa"/>
            <w:tcBorders>
              <w:top w:val="nil"/>
              <w:left w:val="nil"/>
              <w:bottom w:val="single" w:sz="4" w:space="0" w:color="auto"/>
              <w:right w:val="single" w:sz="4" w:space="0" w:color="auto"/>
            </w:tcBorders>
            <w:shd w:val="clear" w:color="auto" w:fill="auto"/>
            <w:noWrap/>
            <w:vAlign w:val="bottom"/>
            <w:hideMark/>
          </w:tcPr>
          <w:p w14:paraId="42DCA846"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1 923 </w:t>
            </w:r>
          </w:p>
        </w:tc>
        <w:tc>
          <w:tcPr>
            <w:tcW w:w="760" w:type="dxa"/>
            <w:tcBorders>
              <w:top w:val="nil"/>
              <w:left w:val="nil"/>
              <w:bottom w:val="single" w:sz="4" w:space="0" w:color="auto"/>
              <w:right w:val="single" w:sz="4" w:space="0" w:color="auto"/>
            </w:tcBorders>
            <w:shd w:val="clear" w:color="auto" w:fill="auto"/>
            <w:noWrap/>
            <w:vAlign w:val="bottom"/>
            <w:hideMark/>
          </w:tcPr>
          <w:p w14:paraId="42DCA847"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1 290 </w:t>
            </w:r>
          </w:p>
        </w:tc>
        <w:tc>
          <w:tcPr>
            <w:tcW w:w="760" w:type="dxa"/>
            <w:tcBorders>
              <w:top w:val="nil"/>
              <w:left w:val="nil"/>
              <w:bottom w:val="single" w:sz="4" w:space="0" w:color="auto"/>
              <w:right w:val="single" w:sz="4" w:space="0" w:color="auto"/>
            </w:tcBorders>
            <w:shd w:val="clear" w:color="auto" w:fill="auto"/>
            <w:noWrap/>
            <w:vAlign w:val="bottom"/>
            <w:hideMark/>
          </w:tcPr>
          <w:p w14:paraId="42DCA848"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649 </w:t>
            </w:r>
          </w:p>
        </w:tc>
      </w:tr>
      <w:tr w:rsidR="007E2BF4" w:rsidRPr="007E2BF4" w14:paraId="42DCA84F"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4A"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Revenu</w:t>
            </w:r>
          </w:p>
        </w:tc>
        <w:tc>
          <w:tcPr>
            <w:tcW w:w="760" w:type="dxa"/>
            <w:tcBorders>
              <w:top w:val="nil"/>
              <w:left w:val="nil"/>
              <w:bottom w:val="single" w:sz="4" w:space="0" w:color="auto"/>
              <w:right w:val="single" w:sz="4" w:space="0" w:color="auto"/>
            </w:tcBorders>
            <w:shd w:val="clear" w:color="auto" w:fill="auto"/>
            <w:noWrap/>
            <w:vAlign w:val="bottom"/>
            <w:hideMark/>
          </w:tcPr>
          <w:p w14:paraId="42DCA84B"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54 497</w:t>
            </w:r>
          </w:p>
        </w:tc>
        <w:tc>
          <w:tcPr>
            <w:tcW w:w="760" w:type="dxa"/>
            <w:tcBorders>
              <w:top w:val="nil"/>
              <w:left w:val="nil"/>
              <w:bottom w:val="single" w:sz="4" w:space="0" w:color="auto"/>
              <w:right w:val="single" w:sz="4" w:space="0" w:color="auto"/>
            </w:tcBorders>
            <w:shd w:val="clear" w:color="auto" w:fill="auto"/>
            <w:noWrap/>
            <w:vAlign w:val="bottom"/>
            <w:hideMark/>
          </w:tcPr>
          <w:p w14:paraId="42DCA84C"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55 407</w:t>
            </w:r>
          </w:p>
        </w:tc>
        <w:tc>
          <w:tcPr>
            <w:tcW w:w="760" w:type="dxa"/>
            <w:tcBorders>
              <w:top w:val="nil"/>
              <w:left w:val="nil"/>
              <w:bottom w:val="single" w:sz="4" w:space="0" w:color="auto"/>
              <w:right w:val="single" w:sz="4" w:space="0" w:color="auto"/>
            </w:tcBorders>
            <w:shd w:val="clear" w:color="auto" w:fill="auto"/>
            <w:noWrap/>
            <w:vAlign w:val="bottom"/>
            <w:hideMark/>
          </w:tcPr>
          <w:p w14:paraId="42DCA84D"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56 327</w:t>
            </w:r>
          </w:p>
        </w:tc>
        <w:tc>
          <w:tcPr>
            <w:tcW w:w="760" w:type="dxa"/>
            <w:tcBorders>
              <w:top w:val="nil"/>
              <w:left w:val="nil"/>
              <w:bottom w:val="single" w:sz="4" w:space="0" w:color="auto"/>
              <w:right w:val="single" w:sz="4" w:space="0" w:color="auto"/>
            </w:tcBorders>
            <w:shd w:val="clear" w:color="auto" w:fill="auto"/>
            <w:noWrap/>
            <w:vAlign w:val="bottom"/>
            <w:hideMark/>
          </w:tcPr>
          <w:p w14:paraId="42DCA84E"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57 256</w:t>
            </w:r>
          </w:p>
        </w:tc>
      </w:tr>
      <w:tr w:rsidR="007E2BF4" w:rsidRPr="007E2BF4" w14:paraId="42DCA855"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50"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c>
          <w:tcPr>
            <w:tcW w:w="760" w:type="dxa"/>
            <w:tcBorders>
              <w:top w:val="nil"/>
              <w:left w:val="nil"/>
              <w:bottom w:val="single" w:sz="4" w:space="0" w:color="auto"/>
              <w:right w:val="single" w:sz="4" w:space="0" w:color="auto"/>
            </w:tcBorders>
            <w:shd w:val="clear" w:color="auto" w:fill="auto"/>
            <w:noWrap/>
            <w:vAlign w:val="bottom"/>
            <w:hideMark/>
          </w:tcPr>
          <w:p w14:paraId="42DCA851"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c>
          <w:tcPr>
            <w:tcW w:w="760" w:type="dxa"/>
            <w:tcBorders>
              <w:top w:val="nil"/>
              <w:left w:val="nil"/>
              <w:bottom w:val="single" w:sz="4" w:space="0" w:color="auto"/>
              <w:right w:val="single" w:sz="4" w:space="0" w:color="auto"/>
            </w:tcBorders>
            <w:shd w:val="clear" w:color="auto" w:fill="auto"/>
            <w:noWrap/>
            <w:vAlign w:val="bottom"/>
            <w:hideMark/>
          </w:tcPr>
          <w:p w14:paraId="42DCA852"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c>
          <w:tcPr>
            <w:tcW w:w="760" w:type="dxa"/>
            <w:tcBorders>
              <w:top w:val="nil"/>
              <w:left w:val="nil"/>
              <w:bottom w:val="single" w:sz="4" w:space="0" w:color="auto"/>
              <w:right w:val="single" w:sz="4" w:space="0" w:color="auto"/>
            </w:tcBorders>
            <w:shd w:val="clear" w:color="auto" w:fill="auto"/>
            <w:noWrap/>
            <w:vAlign w:val="bottom"/>
            <w:hideMark/>
          </w:tcPr>
          <w:p w14:paraId="42DCA853"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c>
          <w:tcPr>
            <w:tcW w:w="760" w:type="dxa"/>
            <w:tcBorders>
              <w:top w:val="nil"/>
              <w:left w:val="nil"/>
              <w:bottom w:val="single" w:sz="4" w:space="0" w:color="auto"/>
              <w:right w:val="single" w:sz="4" w:space="0" w:color="auto"/>
            </w:tcBorders>
            <w:shd w:val="clear" w:color="auto" w:fill="auto"/>
            <w:noWrap/>
            <w:vAlign w:val="bottom"/>
            <w:hideMark/>
          </w:tcPr>
          <w:p w14:paraId="42DCA854"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 </w:t>
            </w:r>
          </w:p>
        </w:tc>
      </w:tr>
      <w:tr w:rsidR="007E2BF4" w:rsidRPr="007E2BF4" w14:paraId="42DCA85B"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56"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Encaissement</w:t>
            </w:r>
          </w:p>
        </w:tc>
        <w:tc>
          <w:tcPr>
            <w:tcW w:w="760" w:type="dxa"/>
            <w:tcBorders>
              <w:top w:val="nil"/>
              <w:left w:val="nil"/>
              <w:bottom w:val="single" w:sz="4" w:space="0" w:color="auto"/>
              <w:right w:val="single" w:sz="4" w:space="0" w:color="auto"/>
            </w:tcBorders>
            <w:shd w:val="clear" w:color="auto" w:fill="auto"/>
            <w:noWrap/>
            <w:vAlign w:val="bottom"/>
            <w:hideMark/>
          </w:tcPr>
          <w:p w14:paraId="42DCA857"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57 045</w:t>
            </w:r>
          </w:p>
        </w:tc>
        <w:tc>
          <w:tcPr>
            <w:tcW w:w="760" w:type="dxa"/>
            <w:tcBorders>
              <w:top w:val="nil"/>
              <w:left w:val="nil"/>
              <w:bottom w:val="single" w:sz="4" w:space="0" w:color="auto"/>
              <w:right w:val="single" w:sz="4" w:space="0" w:color="auto"/>
            </w:tcBorders>
            <w:shd w:val="clear" w:color="auto" w:fill="auto"/>
            <w:noWrap/>
            <w:vAlign w:val="bottom"/>
            <w:hideMark/>
          </w:tcPr>
          <w:p w14:paraId="42DCA858"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57 331</w:t>
            </w:r>
          </w:p>
        </w:tc>
        <w:tc>
          <w:tcPr>
            <w:tcW w:w="760" w:type="dxa"/>
            <w:tcBorders>
              <w:top w:val="nil"/>
              <w:left w:val="nil"/>
              <w:bottom w:val="single" w:sz="4" w:space="0" w:color="auto"/>
              <w:right w:val="single" w:sz="4" w:space="0" w:color="auto"/>
            </w:tcBorders>
            <w:shd w:val="clear" w:color="auto" w:fill="auto"/>
            <w:noWrap/>
            <w:vAlign w:val="bottom"/>
            <w:hideMark/>
          </w:tcPr>
          <w:p w14:paraId="42DCA859"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57 617</w:t>
            </w:r>
          </w:p>
        </w:tc>
        <w:tc>
          <w:tcPr>
            <w:tcW w:w="760" w:type="dxa"/>
            <w:tcBorders>
              <w:top w:val="nil"/>
              <w:left w:val="nil"/>
              <w:bottom w:val="single" w:sz="4" w:space="0" w:color="auto"/>
              <w:right w:val="single" w:sz="4" w:space="0" w:color="auto"/>
            </w:tcBorders>
            <w:shd w:val="clear" w:color="auto" w:fill="auto"/>
            <w:noWrap/>
            <w:vAlign w:val="bottom"/>
            <w:hideMark/>
          </w:tcPr>
          <w:p w14:paraId="42DCA85A"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57 905</w:t>
            </w:r>
          </w:p>
        </w:tc>
      </w:tr>
      <w:tr w:rsidR="007E2BF4" w:rsidRPr="007E2BF4" w14:paraId="42DCA861" w14:textId="77777777" w:rsidTr="007E2BF4">
        <w:trPr>
          <w:trHeight w:val="240"/>
          <w:jc w:val="center"/>
        </w:trPr>
        <w:tc>
          <w:tcPr>
            <w:tcW w:w="1280" w:type="dxa"/>
            <w:tcBorders>
              <w:top w:val="nil"/>
              <w:left w:val="single" w:sz="8" w:space="0" w:color="auto"/>
              <w:bottom w:val="nil"/>
              <w:right w:val="single" w:sz="4" w:space="0" w:color="auto"/>
            </w:tcBorders>
            <w:shd w:val="clear" w:color="auto" w:fill="auto"/>
            <w:noWrap/>
            <w:vAlign w:val="bottom"/>
            <w:hideMark/>
          </w:tcPr>
          <w:p w14:paraId="42DCA85C"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Emprunt</w:t>
            </w:r>
          </w:p>
        </w:tc>
        <w:tc>
          <w:tcPr>
            <w:tcW w:w="760" w:type="dxa"/>
            <w:tcBorders>
              <w:top w:val="nil"/>
              <w:left w:val="nil"/>
              <w:bottom w:val="nil"/>
              <w:right w:val="single" w:sz="4" w:space="0" w:color="auto"/>
            </w:tcBorders>
            <w:shd w:val="clear" w:color="auto" w:fill="auto"/>
            <w:noWrap/>
            <w:vAlign w:val="bottom"/>
            <w:hideMark/>
          </w:tcPr>
          <w:p w14:paraId="42DCA85D"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51 567 </w:t>
            </w:r>
          </w:p>
        </w:tc>
        <w:tc>
          <w:tcPr>
            <w:tcW w:w="760" w:type="dxa"/>
            <w:tcBorders>
              <w:top w:val="nil"/>
              <w:left w:val="nil"/>
              <w:bottom w:val="nil"/>
              <w:right w:val="single" w:sz="4" w:space="0" w:color="auto"/>
            </w:tcBorders>
            <w:shd w:val="clear" w:color="auto" w:fill="auto"/>
            <w:noWrap/>
            <w:vAlign w:val="bottom"/>
            <w:hideMark/>
          </w:tcPr>
          <w:p w14:paraId="42DCA85E"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51 567 </w:t>
            </w:r>
          </w:p>
        </w:tc>
        <w:tc>
          <w:tcPr>
            <w:tcW w:w="760" w:type="dxa"/>
            <w:tcBorders>
              <w:top w:val="nil"/>
              <w:left w:val="nil"/>
              <w:bottom w:val="nil"/>
              <w:right w:val="single" w:sz="4" w:space="0" w:color="auto"/>
            </w:tcBorders>
            <w:shd w:val="clear" w:color="auto" w:fill="auto"/>
            <w:noWrap/>
            <w:vAlign w:val="bottom"/>
            <w:hideMark/>
          </w:tcPr>
          <w:p w14:paraId="42DCA85F"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51 567 </w:t>
            </w:r>
          </w:p>
        </w:tc>
        <w:tc>
          <w:tcPr>
            <w:tcW w:w="760" w:type="dxa"/>
            <w:tcBorders>
              <w:top w:val="nil"/>
              <w:left w:val="nil"/>
              <w:bottom w:val="nil"/>
              <w:right w:val="single" w:sz="4" w:space="0" w:color="auto"/>
            </w:tcBorders>
            <w:shd w:val="clear" w:color="auto" w:fill="auto"/>
            <w:noWrap/>
            <w:vAlign w:val="bottom"/>
            <w:hideMark/>
          </w:tcPr>
          <w:p w14:paraId="42DCA860"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 xml:space="preserve">51 567 </w:t>
            </w:r>
          </w:p>
        </w:tc>
      </w:tr>
      <w:tr w:rsidR="007E2BF4" w:rsidRPr="007E2BF4" w14:paraId="42DCA867" w14:textId="77777777" w:rsidTr="007E2BF4">
        <w:trPr>
          <w:trHeight w:val="240"/>
          <w:jc w:val="center"/>
        </w:trPr>
        <w:tc>
          <w:tcPr>
            <w:tcW w:w="1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DCA862" w14:textId="77777777" w:rsidR="007E2BF4" w:rsidRPr="007E2BF4" w:rsidRDefault="007E2BF4" w:rsidP="007E2BF4">
            <w:pPr>
              <w:spacing w:after="0" w:line="240" w:lineRule="auto"/>
              <w:rPr>
                <w:rFonts w:ascii="Arial" w:eastAsia="Times New Roman" w:hAnsi="Arial" w:cs="Arial"/>
                <w:sz w:val="16"/>
                <w:szCs w:val="16"/>
                <w:lang w:eastAsia="fr-FR"/>
              </w:rPr>
            </w:pPr>
            <w:r w:rsidRPr="007E2BF4">
              <w:rPr>
                <w:rFonts w:ascii="Arial" w:eastAsia="Times New Roman" w:hAnsi="Arial" w:cs="Arial"/>
                <w:sz w:val="16"/>
                <w:szCs w:val="16"/>
                <w:lang w:eastAsia="fr-FR"/>
              </w:rPr>
              <w:t>Impôt</w:t>
            </w:r>
          </w:p>
        </w:tc>
        <w:tc>
          <w:tcPr>
            <w:tcW w:w="760" w:type="dxa"/>
            <w:tcBorders>
              <w:top w:val="single" w:sz="8" w:space="0" w:color="auto"/>
              <w:left w:val="nil"/>
              <w:bottom w:val="single" w:sz="8" w:space="0" w:color="auto"/>
              <w:right w:val="single" w:sz="4" w:space="0" w:color="auto"/>
            </w:tcBorders>
            <w:shd w:val="clear" w:color="000000" w:fill="FFFF00"/>
            <w:noWrap/>
            <w:vAlign w:val="bottom"/>
            <w:hideMark/>
          </w:tcPr>
          <w:p w14:paraId="42DCA863"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31 608</w:t>
            </w:r>
          </w:p>
        </w:tc>
        <w:tc>
          <w:tcPr>
            <w:tcW w:w="760" w:type="dxa"/>
            <w:tcBorders>
              <w:top w:val="single" w:sz="8" w:space="0" w:color="auto"/>
              <w:left w:val="nil"/>
              <w:bottom w:val="single" w:sz="8" w:space="0" w:color="auto"/>
              <w:right w:val="single" w:sz="4" w:space="0" w:color="auto"/>
            </w:tcBorders>
            <w:shd w:val="clear" w:color="000000" w:fill="FFFF00"/>
            <w:noWrap/>
            <w:vAlign w:val="bottom"/>
            <w:hideMark/>
          </w:tcPr>
          <w:p w14:paraId="42DCA864"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32 136</w:t>
            </w:r>
          </w:p>
        </w:tc>
        <w:tc>
          <w:tcPr>
            <w:tcW w:w="760" w:type="dxa"/>
            <w:tcBorders>
              <w:top w:val="single" w:sz="8" w:space="0" w:color="auto"/>
              <w:left w:val="nil"/>
              <w:bottom w:val="single" w:sz="8" w:space="0" w:color="auto"/>
              <w:right w:val="single" w:sz="4" w:space="0" w:color="auto"/>
            </w:tcBorders>
            <w:shd w:val="clear" w:color="000000" w:fill="FFFF00"/>
            <w:noWrap/>
            <w:vAlign w:val="bottom"/>
            <w:hideMark/>
          </w:tcPr>
          <w:p w14:paraId="42DCA865"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32 670</w:t>
            </w:r>
          </w:p>
        </w:tc>
        <w:tc>
          <w:tcPr>
            <w:tcW w:w="760" w:type="dxa"/>
            <w:tcBorders>
              <w:top w:val="single" w:sz="8" w:space="0" w:color="auto"/>
              <w:left w:val="nil"/>
              <w:bottom w:val="single" w:sz="8" w:space="0" w:color="auto"/>
              <w:right w:val="single" w:sz="8" w:space="0" w:color="auto"/>
            </w:tcBorders>
            <w:shd w:val="clear" w:color="000000" w:fill="FFFF00"/>
            <w:noWrap/>
            <w:vAlign w:val="bottom"/>
            <w:hideMark/>
          </w:tcPr>
          <w:p w14:paraId="42DCA866" w14:textId="77777777" w:rsidR="007E2BF4" w:rsidRPr="007E2BF4" w:rsidRDefault="007E2BF4" w:rsidP="007E2BF4">
            <w:pPr>
              <w:spacing w:after="0" w:line="240" w:lineRule="auto"/>
              <w:jc w:val="right"/>
              <w:rPr>
                <w:rFonts w:ascii="Arial" w:eastAsia="Times New Roman" w:hAnsi="Arial" w:cs="Arial"/>
                <w:sz w:val="16"/>
                <w:szCs w:val="16"/>
                <w:lang w:eastAsia="fr-FR"/>
              </w:rPr>
            </w:pPr>
            <w:r w:rsidRPr="007E2BF4">
              <w:rPr>
                <w:rFonts w:ascii="Arial" w:eastAsia="Times New Roman" w:hAnsi="Arial" w:cs="Arial"/>
                <w:sz w:val="16"/>
                <w:szCs w:val="16"/>
                <w:lang w:eastAsia="fr-FR"/>
              </w:rPr>
              <w:t>33 209</w:t>
            </w:r>
          </w:p>
        </w:tc>
      </w:tr>
      <w:tr w:rsidR="007E2BF4" w:rsidRPr="007E2BF4" w14:paraId="42DCA86D" w14:textId="77777777" w:rsidTr="007E2BF4">
        <w:trPr>
          <w:trHeight w:val="225"/>
          <w:jc w:val="center"/>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14:paraId="42DCA868" w14:textId="77777777" w:rsidR="007E2BF4" w:rsidRPr="007E2BF4" w:rsidRDefault="007E2BF4" w:rsidP="007E2BF4">
            <w:pPr>
              <w:spacing w:after="0" w:line="240" w:lineRule="auto"/>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Solde</w:t>
            </w:r>
          </w:p>
        </w:tc>
        <w:tc>
          <w:tcPr>
            <w:tcW w:w="760" w:type="dxa"/>
            <w:tcBorders>
              <w:top w:val="nil"/>
              <w:left w:val="nil"/>
              <w:bottom w:val="single" w:sz="4" w:space="0" w:color="auto"/>
              <w:right w:val="single" w:sz="4" w:space="0" w:color="auto"/>
            </w:tcBorders>
            <w:shd w:val="clear" w:color="auto" w:fill="auto"/>
            <w:noWrap/>
            <w:vAlign w:val="bottom"/>
            <w:hideMark/>
          </w:tcPr>
          <w:p w14:paraId="42DCA869" w14:textId="77777777" w:rsidR="007E2BF4" w:rsidRPr="007E2BF4" w:rsidRDefault="007E2BF4" w:rsidP="007E2BF4">
            <w:pPr>
              <w:spacing w:after="0" w:line="240" w:lineRule="auto"/>
              <w:jc w:val="right"/>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-26 130</w:t>
            </w:r>
          </w:p>
        </w:tc>
        <w:tc>
          <w:tcPr>
            <w:tcW w:w="760" w:type="dxa"/>
            <w:tcBorders>
              <w:top w:val="nil"/>
              <w:left w:val="nil"/>
              <w:bottom w:val="single" w:sz="4" w:space="0" w:color="auto"/>
              <w:right w:val="single" w:sz="4" w:space="0" w:color="auto"/>
            </w:tcBorders>
            <w:shd w:val="clear" w:color="auto" w:fill="auto"/>
            <w:noWrap/>
            <w:vAlign w:val="bottom"/>
            <w:hideMark/>
          </w:tcPr>
          <w:p w14:paraId="42DCA86A" w14:textId="77777777" w:rsidR="007E2BF4" w:rsidRPr="007E2BF4" w:rsidRDefault="007E2BF4" w:rsidP="007E2BF4">
            <w:pPr>
              <w:spacing w:after="0" w:line="240" w:lineRule="auto"/>
              <w:jc w:val="right"/>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-26 373</w:t>
            </w:r>
          </w:p>
        </w:tc>
        <w:tc>
          <w:tcPr>
            <w:tcW w:w="760" w:type="dxa"/>
            <w:tcBorders>
              <w:top w:val="nil"/>
              <w:left w:val="nil"/>
              <w:bottom w:val="single" w:sz="4" w:space="0" w:color="auto"/>
              <w:right w:val="single" w:sz="4" w:space="0" w:color="auto"/>
            </w:tcBorders>
            <w:shd w:val="clear" w:color="auto" w:fill="auto"/>
            <w:noWrap/>
            <w:vAlign w:val="bottom"/>
            <w:hideMark/>
          </w:tcPr>
          <w:p w14:paraId="42DCA86B" w14:textId="77777777" w:rsidR="007E2BF4" w:rsidRPr="007E2BF4" w:rsidRDefault="007E2BF4" w:rsidP="007E2BF4">
            <w:pPr>
              <w:spacing w:after="0" w:line="240" w:lineRule="auto"/>
              <w:jc w:val="right"/>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-26 620</w:t>
            </w:r>
          </w:p>
        </w:tc>
        <w:tc>
          <w:tcPr>
            <w:tcW w:w="760" w:type="dxa"/>
            <w:tcBorders>
              <w:top w:val="nil"/>
              <w:left w:val="nil"/>
              <w:bottom w:val="single" w:sz="4" w:space="0" w:color="auto"/>
              <w:right w:val="single" w:sz="4" w:space="0" w:color="auto"/>
            </w:tcBorders>
            <w:shd w:val="clear" w:color="auto" w:fill="auto"/>
            <w:noWrap/>
            <w:vAlign w:val="bottom"/>
            <w:hideMark/>
          </w:tcPr>
          <w:p w14:paraId="42DCA86C" w14:textId="77777777" w:rsidR="007E2BF4" w:rsidRPr="007E2BF4" w:rsidRDefault="007E2BF4" w:rsidP="007E2BF4">
            <w:pPr>
              <w:spacing w:after="0" w:line="240" w:lineRule="auto"/>
              <w:jc w:val="right"/>
              <w:rPr>
                <w:rFonts w:ascii="Arial" w:eastAsia="Times New Roman" w:hAnsi="Arial" w:cs="Arial"/>
                <w:b/>
                <w:bCs/>
                <w:sz w:val="16"/>
                <w:szCs w:val="16"/>
                <w:lang w:eastAsia="fr-FR"/>
              </w:rPr>
            </w:pPr>
            <w:r w:rsidRPr="007E2BF4">
              <w:rPr>
                <w:rFonts w:ascii="Arial" w:eastAsia="Times New Roman" w:hAnsi="Arial" w:cs="Arial"/>
                <w:b/>
                <w:bCs/>
                <w:sz w:val="16"/>
                <w:szCs w:val="16"/>
                <w:lang w:eastAsia="fr-FR"/>
              </w:rPr>
              <w:t>-26 871</w:t>
            </w:r>
          </w:p>
        </w:tc>
      </w:tr>
      <w:tr w:rsidR="007E2BF4" w:rsidRPr="007E2BF4" w14:paraId="42DCA873" w14:textId="77777777" w:rsidTr="007E2BF4">
        <w:trPr>
          <w:trHeight w:val="240"/>
          <w:jc w:val="center"/>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42DCA86E" w14:textId="77777777" w:rsidR="007E2BF4" w:rsidRPr="007E2BF4" w:rsidRDefault="007E2BF4" w:rsidP="007E2BF4">
            <w:pPr>
              <w:spacing w:after="0" w:line="240" w:lineRule="auto"/>
              <w:rPr>
                <w:rFonts w:ascii="Arial" w:eastAsia="Times New Roman" w:hAnsi="Arial" w:cs="Arial"/>
                <w:b/>
                <w:bCs/>
                <w:color w:val="FF0000"/>
                <w:sz w:val="16"/>
                <w:szCs w:val="16"/>
                <w:lang w:eastAsia="fr-FR"/>
              </w:rPr>
            </w:pPr>
            <w:r w:rsidRPr="007E2BF4">
              <w:rPr>
                <w:rFonts w:ascii="Arial" w:eastAsia="Times New Roman" w:hAnsi="Arial" w:cs="Arial"/>
                <w:b/>
                <w:bCs/>
                <w:color w:val="FF0000"/>
                <w:sz w:val="16"/>
                <w:szCs w:val="16"/>
                <w:lang w:eastAsia="fr-FR"/>
              </w:rPr>
              <w:t>Cumul  en K€</w:t>
            </w:r>
          </w:p>
        </w:tc>
        <w:tc>
          <w:tcPr>
            <w:tcW w:w="760" w:type="dxa"/>
            <w:tcBorders>
              <w:top w:val="nil"/>
              <w:left w:val="nil"/>
              <w:bottom w:val="single" w:sz="8" w:space="0" w:color="auto"/>
              <w:right w:val="single" w:sz="4" w:space="0" w:color="auto"/>
            </w:tcBorders>
            <w:shd w:val="clear" w:color="auto" w:fill="auto"/>
            <w:noWrap/>
            <w:vAlign w:val="bottom"/>
            <w:hideMark/>
          </w:tcPr>
          <w:p w14:paraId="42DCA86F" w14:textId="77777777" w:rsidR="007E2BF4" w:rsidRPr="007E2BF4" w:rsidRDefault="007E2BF4" w:rsidP="00C6113D">
            <w:pPr>
              <w:spacing w:after="0" w:line="240" w:lineRule="auto"/>
              <w:jc w:val="right"/>
              <w:rPr>
                <w:rFonts w:ascii="Arial" w:eastAsia="Times New Roman" w:hAnsi="Arial" w:cs="Arial"/>
                <w:b/>
                <w:bCs/>
                <w:color w:val="FF0000"/>
                <w:sz w:val="16"/>
                <w:szCs w:val="16"/>
                <w:lang w:eastAsia="fr-FR"/>
              </w:rPr>
            </w:pPr>
            <w:r w:rsidRPr="007E2BF4">
              <w:rPr>
                <w:rFonts w:ascii="Arial" w:eastAsia="Times New Roman" w:hAnsi="Arial" w:cs="Arial"/>
                <w:b/>
                <w:bCs/>
                <w:color w:val="FF0000"/>
                <w:sz w:val="16"/>
                <w:szCs w:val="16"/>
                <w:lang w:eastAsia="fr-FR"/>
              </w:rPr>
              <w:t xml:space="preserve">-298 </w:t>
            </w:r>
          </w:p>
        </w:tc>
        <w:tc>
          <w:tcPr>
            <w:tcW w:w="760" w:type="dxa"/>
            <w:tcBorders>
              <w:top w:val="nil"/>
              <w:left w:val="nil"/>
              <w:bottom w:val="single" w:sz="8" w:space="0" w:color="auto"/>
              <w:right w:val="single" w:sz="4" w:space="0" w:color="auto"/>
            </w:tcBorders>
            <w:shd w:val="clear" w:color="auto" w:fill="auto"/>
            <w:noWrap/>
            <w:vAlign w:val="bottom"/>
            <w:hideMark/>
          </w:tcPr>
          <w:p w14:paraId="42DCA870" w14:textId="77777777" w:rsidR="007E2BF4" w:rsidRPr="007E2BF4" w:rsidRDefault="007E2BF4" w:rsidP="00C6113D">
            <w:pPr>
              <w:spacing w:after="0" w:line="240" w:lineRule="auto"/>
              <w:jc w:val="right"/>
              <w:rPr>
                <w:rFonts w:ascii="Arial" w:eastAsia="Times New Roman" w:hAnsi="Arial" w:cs="Arial"/>
                <w:b/>
                <w:bCs/>
                <w:color w:val="FF0000"/>
                <w:sz w:val="16"/>
                <w:szCs w:val="16"/>
                <w:lang w:eastAsia="fr-FR"/>
              </w:rPr>
            </w:pPr>
            <w:r w:rsidRPr="007E2BF4">
              <w:rPr>
                <w:rFonts w:ascii="Arial" w:eastAsia="Times New Roman" w:hAnsi="Arial" w:cs="Arial"/>
                <w:b/>
                <w:bCs/>
                <w:color w:val="FF0000"/>
                <w:sz w:val="16"/>
                <w:szCs w:val="16"/>
                <w:lang w:eastAsia="fr-FR"/>
              </w:rPr>
              <w:t xml:space="preserve">-325 </w:t>
            </w:r>
          </w:p>
        </w:tc>
        <w:tc>
          <w:tcPr>
            <w:tcW w:w="760" w:type="dxa"/>
            <w:tcBorders>
              <w:top w:val="nil"/>
              <w:left w:val="nil"/>
              <w:bottom w:val="single" w:sz="8" w:space="0" w:color="auto"/>
              <w:right w:val="single" w:sz="4" w:space="0" w:color="auto"/>
            </w:tcBorders>
            <w:shd w:val="clear" w:color="auto" w:fill="auto"/>
            <w:noWrap/>
            <w:vAlign w:val="bottom"/>
            <w:hideMark/>
          </w:tcPr>
          <w:p w14:paraId="42DCA871" w14:textId="77777777" w:rsidR="007E2BF4" w:rsidRPr="007E2BF4" w:rsidRDefault="007E2BF4" w:rsidP="00C6113D">
            <w:pPr>
              <w:spacing w:after="0" w:line="240" w:lineRule="auto"/>
              <w:jc w:val="right"/>
              <w:rPr>
                <w:rFonts w:ascii="Arial" w:eastAsia="Times New Roman" w:hAnsi="Arial" w:cs="Arial"/>
                <w:b/>
                <w:bCs/>
                <w:color w:val="FF0000"/>
                <w:sz w:val="16"/>
                <w:szCs w:val="16"/>
                <w:lang w:eastAsia="fr-FR"/>
              </w:rPr>
            </w:pPr>
            <w:r w:rsidRPr="007E2BF4">
              <w:rPr>
                <w:rFonts w:ascii="Arial" w:eastAsia="Times New Roman" w:hAnsi="Arial" w:cs="Arial"/>
                <w:b/>
                <w:bCs/>
                <w:color w:val="FF0000"/>
                <w:sz w:val="16"/>
                <w:szCs w:val="16"/>
                <w:lang w:eastAsia="fr-FR"/>
              </w:rPr>
              <w:t xml:space="preserve">-351 </w:t>
            </w:r>
          </w:p>
        </w:tc>
        <w:tc>
          <w:tcPr>
            <w:tcW w:w="760" w:type="dxa"/>
            <w:tcBorders>
              <w:top w:val="nil"/>
              <w:left w:val="nil"/>
              <w:bottom w:val="single" w:sz="8" w:space="0" w:color="auto"/>
              <w:right w:val="single" w:sz="4" w:space="0" w:color="auto"/>
            </w:tcBorders>
            <w:shd w:val="clear" w:color="auto" w:fill="auto"/>
            <w:noWrap/>
            <w:vAlign w:val="bottom"/>
            <w:hideMark/>
          </w:tcPr>
          <w:p w14:paraId="42DCA872" w14:textId="77777777" w:rsidR="007E2BF4" w:rsidRPr="007E2BF4" w:rsidRDefault="007E2BF4" w:rsidP="00C6113D">
            <w:pPr>
              <w:spacing w:after="0" w:line="240" w:lineRule="auto"/>
              <w:jc w:val="right"/>
              <w:rPr>
                <w:rFonts w:ascii="Arial" w:eastAsia="Times New Roman" w:hAnsi="Arial" w:cs="Arial"/>
                <w:b/>
                <w:bCs/>
                <w:color w:val="FF0000"/>
                <w:sz w:val="16"/>
                <w:szCs w:val="16"/>
                <w:lang w:eastAsia="fr-FR"/>
              </w:rPr>
            </w:pPr>
            <w:r w:rsidRPr="007E2BF4">
              <w:rPr>
                <w:rFonts w:ascii="Arial" w:eastAsia="Times New Roman" w:hAnsi="Arial" w:cs="Arial"/>
                <w:b/>
                <w:bCs/>
                <w:color w:val="FF0000"/>
                <w:sz w:val="16"/>
                <w:szCs w:val="16"/>
                <w:lang w:eastAsia="fr-FR"/>
              </w:rPr>
              <w:t xml:space="preserve">-378 </w:t>
            </w:r>
          </w:p>
        </w:tc>
      </w:tr>
    </w:tbl>
    <w:p w14:paraId="42DCA874" w14:textId="77777777" w:rsidR="007E2BF4" w:rsidRDefault="007E2BF4" w:rsidP="007E2BF4">
      <w:pPr>
        <w:pStyle w:val="Sansinterligne"/>
        <w:jc w:val="both"/>
        <w:rPr>
          <w:sz w:val="24"/>
        </w:rPr>
      </w:pPr>
    </w:p>
    <w:p w14:paraId="42DCA875" w14:textId="77777777" w:rsidR="00C04D50" w:rsidRDefault="00C04D50" w:rsidP="007E2BF4">
      <w:pPr>
        <w:pStyle w:val="Sansinterligne"/>
        <w:jc w:val="both"/>
        <w:rPr>
          <w:sz w:val="24"/>
        </w:rPr>
      </w:pPr>
      <w:r>
        <w:rPr>
          <w:sz w:val="24"/>
        </w:rPr>
        <w:t>Autant dire que dans cette situation, et malgré sa volonté notre entrepreneur devra renoncer à acquérir son local d’exploitation.</w:t>
      </w:r>
    </w:p>
    <w:p w14:paraId="6E14B956" w14:textId="77777777" w:rsidR="00DD295E" w:rsidRDefault="00DD295E" w:rsidP="007E2BF4">
      <w:pPr>
        <w:pStyle w:val="Sansinterligne"/>
        <w:jc w:val="both"/>
        <w:rPr>
          <w:sz w:val="24"/>
        </w:rPr>
      </w:pPr>
    </w:p>
    <w:p w14:paraId="42DCA879" w14:textId="57589817" w:rsidR="00435796" w:rsidRDefault="00C04D50" w:rsidP="007E2BF4">
      <w:pPr>
        <w:pStyle w:val="Sansinterligne"/>
        <w:jc w:val="both"/>
        <w:rPr>
          <w:sz w:val="24"/>
        </w:rPr>
      </w:pPr>
      <w:r>
        <w:rPr>
          <w:sz w:val="24"/>
        </w:rPr>
        <w:t>Le premier réflexe, somme toute assez naturel, e</w:t>
      </w:r>
      <w:r w:rsidR="00DD46FD">
        <w:rPr>
          <w:sz w:val="24"/>
        </w:rPr>
        <w:t>s</w:t>
      </w:r>
      <w:r>
        <w:rPr>
          <w:sz w:val="24"/>
        </w:rPr>
        <w:t>t de suggérer à notre entrepreneur une option à l’impôt sur les sociétés de la société civile.</w:t>
      </w:r>
      <w:r w:rsidR="00DD295E">
        <w:rPr>
          <w:sz w:val="24"/>
        </w:rPr>
        <w:t xml:space="preserve"> </w:t>
      </w:r>
      <w:r>
        <w:rPr>
          <w:sz w:val="24"/>
        </w:rPr>
        <w:t>Le résultat est largement connu d’avance, la trésorerie va s’en trouver très largement allég</w:t>
      </w:r>
      <w:r w:rsidR="00E224A4">
        <w:rPr>
          <w:sz w:val="24"/>
        </w:rPr>
        <w:t>ée</w:t>
      </w:r>
      <w:r>
        <w:rPr>
          <w:sz w:val="24"/>
        </w:rPr>
        <w:t xml:space="preserve"> pendant toute la durée du remboursement de l’emprunt.</w:t>
      </w:r>
      <w:r w:rsidR="00DD295E">
        <w:rPr>
          <w:sz w:val="24"/>
        </w:rPr>
        <w:t xml:space="preserve"> </w:t>
      </w:r>
      <w:r>
        <w:rPr>
          <w:sz w:val="24"/>
        </w:rPr>
        <w:t>Cependant, et compte tenu de la législation actuelle, cela met un terme à l’espoir de pouvoir bénéficier de l’exonération des plus-values immobilières après une durée de détention de 22 ans pour l’impôt de plus-value et  de 30 ans pour les prélèvements sociaux</w:t>
      </w:r>
      <w:r w:rsidR="00DD295E">
        <w:rPr>
          <w:sz w:val="24"/>
        </w:rPr>
        <w:t xml:space="preserve"> (2)</w:t>
      </w:r>
      <w:r w:rsidR="00E03853">
        <w:rPr>
          <w:sz w:val="24"/>
        </w:rPr>
        <w:t>.</w:t>
      </w:r>
      <w:r w:rsidR="00E03853">
        <w:rPr>
          <w:rStyle w:val="Appelnotedebasdep"/>
          <w:sz w:val="24"/>
        </w:rPr>
        <w:footnoteReference w:id="3"/>
      </w:r>
      <w:r w:rsidR="00DD295E">
        <w:rPr>
          <w:sz w:val="24"/>
        </w:rPr>
        <w:t xml:space="preserve"> </w:t>
      </w:r>
      <w:r w:rsidR="00435796">
        <w:rPr>
          <w:sz w:val="24"/>
        </w:rPr>
        <w:t xml:space="preserve">Pour illustrer ce propos, le tableau ci-dessous présente le déroulement de ce financement sur les premières années et les dernières années </w:t>
      </w:r>
      <w:r w:rsidR="00DD46FD">
        <w:rPr>
          <w:sz w:val="24"/>
        </w:rPr>
        <w:t xml:space="preserve"> de </w:t>
      </w:r>
      <w:r w:rsidR="00435796">
        <w:rPr>
          <w:sz w:val="24"/>
        </w:rPr>
        <w:t>l’emprunt.</w:t>
      </w:r>
    </w:p>
    <w:p w14:paraId="7CCF98A6" w14:textId="77777777" w:rsidR="001D452F" w:rsidRDefault="001D452F" w:rsidP="007E2BF4">
      <w:pPr>
        <w:pStyle w:val="Sansinterligne"/>
        <w:jc w:val="both"/>
        <w:rPr>
          <w:sz w:val="24"/>
        </w:rPr>
      </w:pPr>
    </w:p>
    <w:p w14:paraId="42DCA87A" w14:textId="1F362924" w:rsidR="00435796" w:rsidRDefault="001D452F" w:rsidP="001D452F">
      <w:pPr>
        <w:pStyle w:val="Sansinterligne"/>
        <w:jc w:val="both"/>
        <w:rPr>
          <w:sz w:val="24"/>
        </w:rPr>
      </w:pPr>
      <w:r w:rsidRPr="00B54454">
        <w:rPr>
          <w:b/>
          <w:color w:val="FF0000"/>
          <w:sz w:val="24"/>
        </w:rPr>
        <w:t>TABLEAU</w:t>
      </w:r>
      <w:r>
        <w:rPr>
          <w:b/>
          <w:color w:val="FF0000"/>
          <w:sz w:val="24"/>
        </w:rPr>
        <w:t xml:space="preserve"> 5</w:t>
      </w:r>
    </w:p>
    <w:p w14:paraId="6FEEC70E" w14:textId="47314229" w:rsidR="001D452F" w:rsidRDefault="001D452F" w:rsidP="007E2BF4">
      <w:pPr>
        <w:pStyle w:val="Sansinterligne"/>
        <w:jc w:val="both"/>
        <w:rPr>
          <w:sz w:val="24"/>
        </w:rPr>
      </w:pPr>
    </w:p>
    <w:p w14:paraId="47C3FD3B" w14:textId="77777777" w:rsidR="001D452F" w:rsidRDefault="001D452F" w:rsidP="007E2BF4">
      <w:pPr>
        <w:pStyle w:val="Sansinterligne"/>
        <w:jc w:val="both"/>
        <w:rPr>
          <w:sz w:val="24"/>
        </w:rPr>
      </w:pPr>
    </w:p>
    <w:p w14:paraId="42DCA87B" w14:textId="77777777" w:rsidR="00A95C4B" w:rsidRDefault="00435796" w:rsidP="007E2BF4">
      <w:pPr>
        <w:pStyle w:val="Sansinterligne"/>
        <w:jc w:val="both"/>
        <w:rPr>
          <w:sz w:val="24"/>
        </w:rPr>
      </w:pPr>
      <w:r w:rsidRPr="00435796">
        <w:rPr>
          <w:noProof/>
          <w:lang w:eastAsia="fr-FR"/>
        </w:rPr>
        <w:lastRenderedPageBreak/>
        <w:drawing>
          <wp:inline distT="0" distB="0" distL="0" distR="0" wp14:anchorId="42DCA89D" wp14:editId="42DCA89E">
            <wp:extent cx="5760720" cy="2071678"/>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71678"/>
                    </a:xfrm>
                    <a:prstGeom prst="rect">
                      <a:avLst/>
                    </a:prstGeom>
                    <a:noFill/>
                    <a:ln>
                      <a:noFill/>
                    </a:ln>
                  </pic:spPr>
                </pic:pic>
              </a:graphicData>
            </a:graphic>
          </wp:inline>
        </w:drawing>
      </w:r>
    </w:p>
    <w:p w14:paraId="42DCA87C" w14:textId="77777777" w:rsidR="008311DA" w:rsidRDefault="008311DA" w:rsidP="008311DA">
      <w:pPr>
        <w:pStyle w:val="Sansinterligne"/>
      </w:pPr>
    </w:p>
    <w:p w14:paraId="42DCA87D" w14:textId="2849C3F6" w:rsidR="00DD46FD" w:rsidRDefault="00DD46FD" w:rsidP="008311DA">
      <w:pPr>
        <w:pStyle w:val="Sansinterligne"/>
      </w:pPr>
      <w:r>
        <w:t xml:space="preserve">Le déroulement du financement </w:t>
      </w:r>
      <w:r w:rsidR="00E224A4">
        <w:t>n’</w:t>
      </w:r>
      <w:r>
        <w:t>exige quasiment aucun effort particulier du chef d’entreprise à titre personnel ce qui peut représenter un avantage non négligeable.</w:t>
      </w:r>
      <w:r w:rsidR="00DA5551">
        <w:t xml:space="preserve"> </w:t>
      </w:r>
      <w:r>
        <w:t>Mais examinons ce qu’il se passerait dans une hypothèse de cession de l’immeuble au terme de 20 ans de détention</w:t>
      </w:r>
      <w:r w:rsidR="00DD295E">
        <w:t xml:space="preserve"> (3)</w:t>
      </w:r>
      <w:r>
        <w:t>.</w:t>
      </w:r>
      <w:r>
        <w:rPr>
          <w:rStyle w:val="Appelnotedebasdep"/>
        </w:rPr>
        <w:footnoteReference w:id="4"/>
      </w:r>
    </w:p>
    <w:p w14:paraId="30EF8D4F" w14:textId="123A7519" w:rsidR="001D452F" w:rsidRDefault="001D452F" w:rsidP="008311DA">
      <w:pPr>
        <w:pStyle w:val="Sansinterligne"/>
      </w:pPr>
    </w:p>
    <w:p w14:paraId="67AAF7E7" w14:textId="02D0E3E3" w:rsidR="001D452F" w:rsidRDefault="001D452F" w:rsidP="001D452F">
      <w:pPr>
        <w:pStyle w:val="Sansinterligne"/>
      </w:pPr>
      <w:r w:rsidRPr="00B54454">
        <w:rPr>
          <w:b/>
          <w:color w:val="FF0000"/>
          <w:sz w:val="24"/>
        </w:rPr>
        <w:t>TABLEAU</w:t>
      </w:r>
      <w:r>
        <w:rPr>
          <w:b/>
          <w:color w:val="FF0000"/>
          <w:sz w:val="24"/>
        </w:rPr>
        <w:t xml:space="preserve"> 6</w:t>
      </w:r>
    </w:p>
    <w:p w14:paraId="42DCA87E" w14:textId="77777777" w:rsidR="008311DA" w:rsidRDefault="008311DA" w:rsidP="008311DA">
      <w:pPr>
        <w:pStyle w:val="Sansinterligne"/>
      </w:pPr>
    </w:p>
    <w:p w14:paraId="42DCA87F" w14:textId="77777777" w:rsidR="00DD46FD" w:rsidRPr="00A95C4B" w:rsidRDefault="00DD46FD" w:rsidP="00A95C4B">
      <w:r w:rsidRPr="00DD46FD">
        <w:rPr>
          <w:noProof/>
          <w:lang w:eastAsia="fr-FR"/>
        </w:rPr>
        <w:drawing>
          <wp:inline distT="0" distB="0" distL="0" distR="0" wp14:anchorId="42DCA89F" wp14:editId="42DCA8A0">
            <wp:extent cx="5667375" cy="29241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2924175"/>
                    </a:xfrm>
                    <a:prstGeom prst="rect">
                      <a:avLst/>
                    </a:prstGeom>
                    <a:noFill/>
                    <a:ln>
                      <a:noFill/>
                    </a:ln>
                  </pic:spPr>
                </pic:pic>
              </a:graphicData>
            </a:graphic>
          </wp:inline>
        </w:drawing>
      </w:r>
    </w:p>
    <w:p w14:paraId="42DCA880" w14:textId="77777777" w:rsidR="00A95C4B" w:rsidRDefault="008311DA" w:rsidP="00A95C4B">
      <w:r>
        <w:t>La</w:t>
      </w:r>
      <w:r w:rsidR="00DD46FD">
        <w:t xml:space="preserve"> différence n’est certes pas négligeable même si les efforts annuels ne sont pas </w:t>
      </w:r>
      <w:r w:rsidR="00B1613D">
        <w:t>identiques.</w:t>
      </w:r>
    </w:p>
    <w:p w14:paraId="42DCA881" w14:textId="0EF68A3A" w:rsidR="00DD46FD" w:rsidRDefault="00DD46FD" w:rsidP="00A95C4B">
      <w:r>
        <w:t>Allons encore plus loin dans nos rêveries d’un monde fiscal stable et examinons la même situation au terme de 30 ans de détention.</w:t>
      </w:r>
    </w:p>
    <w:p w14:paraId="3802E388" w14:textId="0A15E01B" w:rsidR="001D452F" w:rsidRDefault="001D452F" w:rsidP="00A95C4B"/>
    <w:p w14:paraId="04431E2A" w14:textId="0A6EF6E5" w:rsidR="001D452F" w:rsidRDefault="001D452F" w:rsidP="00A95C4B"/>
    <w:p w14:paraId="5E025554" w14:textId="2AAACBCB" w:rsidR="001D452F" w:rsidRDefault="001D452F" w:rsidP="001D452F">
      <w:r w:rsidRPr="00B54454">
        <w:rPr>
          <w:b/>
          <w:color w:val="FF0000"/>
          <w:sz w:val="24"/>
        </w:rPr>
        <w:t>TABLEAU</w:t>
      </w:r>
      <w:r>
        <w:rPr>
          <w:b/>
          <w:color w:val="FF0000"/>
          <w:sz w:val="24"/>
        </w:rPr>
        <w:t xml:space="preserve"> 7</w:t>
      </w:r>
    </w:p>
    <w:p w14:paraId="42DCA882" w14:textId="77777777" w:rsidR="00DD46FD" w:rsidRDefault="00346C0D" w:rsidP="00A95C4B">
      <w:r w:rsidRPr="00346C0D">
        <w:rPr>
          <w:noProof/>
          <w:lang w:eastAsia="fr-FR"/>
        </w:rPr>
        <w:lastRenderedPageBreak/>
        <w:drawing>
          <wp:inline distT="0" distB="0" distL="0" distR="0" wp14:anchorId="42DCA8A1" wp14:editId="42DCA8A2">
            <wp:extent cx="5667375" cy="29241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2924175"/>
                    </a:xfrm>
                    <a:prstGeom prst="rect">
                      <a:avLst/>
                    </a:prstGeom>
                    <a:noFill/>
                    <a:ln>
                      <a:noFill/>
                    </a:ln>
                  </pic:spPr>
                </pic:pic>
              </a:graphicData>
            </a:graphic>
          </wp:inline>
        </w:drawing>
      </w:r>
    </w:p>
    <w:p w14:paraId="42DCA885" w14:textId="0E1A8EF8" w:rsidR="00346C0D" w:rsidRDefault="00346C0D" w:rsidP="00190534">
      <w:pPr>
        <w:pStyle w:val="Sansinterligne"/>
        <w:jc w:val="both"/>
      </w:pPr>
      <w:r>
        <w:t>Je sais que dans cette situation, il y aura ceux qui voient la bouteille à moitié vide et ceux qui la voient à moitié pleine.</w:t>
      </w:r>
      <w:r w:rsidR="00DD295E">
        <w:t xml:space="preserve"> </w:t>
      </w:r>
      <w:r>
        <w:t>Pour les tenants de la première situation, dans le premier cas</w:t>
      </w:r>
      <w:r w:rsidR="00872C2D">
        <w:t>,</w:t>
      </w:r>
      <w:r>
        <w:t xml:space="preserve"> l’écart de 373</w:t>
      </w:r>
      <w:r w:rsidR="008311DA">
        <w:t> </w:t>
      </w:r>
      <w:r>
        <w:t>000</w:t>
      </w:r>
      <w:r w:rsidR="00DD295E">
        <w:t xml:space="preserve"> euros </w:t>
      </w:r>
      <w:r>
        <w:t>sur 20 ans représente une différence moyenne de 18 000</w:t>
      </w:r>
      <w:r w:rsidR="008311DA">
        <w:t xml:space="preserve"> </w:t>
      </w:r>
      <w:r w:rsidR="00DD295E">
        <w:t>euros</w:t>
      </w:r>
      <w:r>
        <w:t xml:space="preserve"> par an, peu éloigné de l’effort contributif annuel que devra faire notre investisseur s’il devait rester à l’impôt sur le revenu.</w:t>
      </w:r>
    </w:p>
    <w:p w14:paraId="42DCA887" w14:textId="4560DA5E" w:rsidR="00346C0D" w:rsidRDefault="00346C0D" w:rsidP="00190534">
      <w:pPr>
        <w:pStyle w:val="Sansinterligne"/>
        <w:jc w:val="both"/>
      </w:pPr>
      <w:r>
        <w:t xml:space="preserve">Pour les seconds, </w:t>
      </w:r>
      <w:r w:rsidR="009813F3">
        <w:t>peut-être</w:t>
      </w:r>
      <w:r>
        <w:t xml:space="preserve"> plus attentif au patrimoine susceptible d’être transmis à leurs héritiers, la différence globale au terme des 20 ans représente un pactole non négligeable, par rapport même au prix d’acquisition initiale</w:t>
      </w:r>
      <w:r w:rsidR="00872C2D">
        <w:t>.</w:t>
      </w:r>
    </w:p>
    <w:p w14:paraId="42DCA888" w14:textId="77777777" w:rsidR="00C62A18" w:rsidRDefault="00C62A18" w:rsidP="00190534">
      <w:pPr>
        <w:pStyle w:val="Sansinterligne"/>
        <w:jc w:val="both"/>
      </w:pPr>
    </w:p>
    <w:p w14:paraId="42DCA88B" w14:textId="4B46A8B9" w:rsidR="00C62A18" w:rsidRDefault="00C62A18" w:rsidP="00190534">
      <w:pPr>
        <w:pStyle w:val="Sansinterligne"/>
        <w:jc w:val="both"/>
      </w:pPr>
      <w:r>
        <w:t>Pour résoudre cette apparente contradiction, la solution est connue</w:t>
      </w:r>
      <w:r w:rsidR="00E224A4">
        <w:t>,</w:t>
      </w:r>
      <w:r>
        <w:t xml:space="preserve"> il s’agit d’utiliser l’une des plus vieilles techniques, aujourd’hui codifiée dans le Code civil</w:t>
      </w:r>
      <w:r w:rsidR="00E224A4">
        <w:t>,</w:t>
      </w:r>
      <w:r>
        <w:t xml:space="preserve"> que constitue le démembrement de propriété.</w:t>
      </w:r>
      <w:r w:rsidR="00831945">
        <w:t xml:space="preserve"> </w:t>
      </w:r>
      <w:r>
        <w:t>Avant d’en présenter successivement les avantages et les contraintes examinons rapidement</w:t>
      </w:r>
      <w:r w:rsidR="00190534">
        <w:t xml:space="preserve"> les éléments qui peuvent faire craindre à beaucoup d’entrepreneurs la pérennité et la sécurité de ce système.</w:t>
      </w:r>
    </w:p>
    <w:p w14:paraId="42DCA88C" w14:textId="77777777" w:rsidR="00346C0D" w:rsidRDefault="00346C0D" w:rsidP="00A95C4B"/>
    <w:p w14:paraId="42DCA88E" w14:textId="4DFBC9F9" w:rsidR="00EF0765" w:rsidRDefault="00EF0765" w:rsidP="00EF0765">
      <w:pPr>
        <w:pStyle w:val="Sansinterligne"/>
        <w:jc w:val="both"/>
      </w:pPr>
      <w:r>
        <w:t>Comme tout schéma particulièrement efficace sur le plan patrimonial économique et financier, lorsque ces stratégies comportent également des avantages fiscaux importants, les comportements peuvent aboutir le plus souvent à des exagérations obligeant le législateur à intervenir.</w:t>
      </w:r>
      <w:r w:rsidR="00831945">
        <w:t xml:space="preserve"> </w:t>
      </w:r>
      <w:r>
        <w:t>On remarquera au passage, sans l’approfondir dans cet article</w:t>
      </w:r>
      <w:r w:rsidR="00E224A4">
        <w:t>,</w:t>
      </w:r>
      <w:r>
        <w:t xml:space="preserve"> que les modifications sont intervenues de façon législative lorsque certains conseils jusqu’au-boutiste avaient élaboré des stratégies avec des montants d’usufruit temporaire très élevé. On a vu alors apparaître l’article 13-5 du code général des impôts qui taxe comme revenus fonciers la plus-value représentative de la cession de l’apport d’un usufruit à terme fixe.</w:t>
      </w:r>
    </w:p>
    <w:p w14:paraId="42DCA88F" w14:textId="77777777" w:rsidR="00EF0765" w:rsidRDefault="00EF0765" w:rsidP="00EF0765">
      <w:pPr>
        <w:pStyle w:val="Sansinterligne"/>
        <w:jc w:val="both"/>
      </w:pPr>
    </w:p>
    <w:p w14:paraId="42DCA890" w14:textId="633DD5B2" w:rsidR="00EF0765" w:rsidRDefault="00EF0765" w:rsidP="00EF0765">
      <w:pPr>
        <w:pStyle w:val="Sansinterligne"/>
        <w:jc w:val="both"/>
      </w:pPr>
      <w:r>
        <w:t xml:space="preserve">A contrario, lorsque que le défaut d’évaluation du montant de la cession d’usufruit à terme fixe aboutissait à des montants ridiculement bas, la jurisprudence est intervenue </w:t>
      </w:r>
      <w:r w:rsidR="00E224A4">
        <w:t>également</w:t>
      </w:r>
      <w:r>
        <w:t>, c’est précisément l’objet du désormais célèbre arrêt L</w:t>
      </w:r>
      <w:r w:rsidR="00831945">
        <w:t>uccotel</w:t>
      </w:r>
      <w:r>
        <w:t>, sur lequel nous reviendrons ci-après.</w:t>
      </w:r>
    </w:p>
    <w:p w14:paraId="3D6AE3B0" w14:textId="77777777" w:rsidR="00E224A4" w:rsidRDefault="00E224A4" w:rsidP="00EF0765">
      <w:pPr>
        <w:pStyle w:val="Sansinterligne"/>
        <w:jc w:val="both"/>
      </w:pPr>
    </w:p>
    <w:p w14:paraId="42DCA891" w14:textId="5E9C514C" w:rsidR="00EF0765" w:rsidRDefault="00EF0765" w:rsidP="00EF0765">
      <w:pPr>
        <w:pStyle w:val="Sansinterligne"/>
        <w:jc w:val="both"/>
      </w:pPr>
      <w:r>
        <w:t>Reprenons la situation de Monsieur J</w:t>
      </w:r>
      <w:r w:rsidR="00831945">
        <w:t>ean-</w:t>
      </w:r>
      <w:r>
        <w:t>M</w:t>
      </w:r>
      <w:r w:rsidR="00831945">
        <w:t>arie</w:t>
      </w:r>
      <w:r>
        <w:t xml:space="preserve"> L</w:t>
      </w:r>
      <w:r w:rsidR="00831945">
        <w:t>apierre</w:t>
      </w:r>
      <w:r>
        <w:t xml:space="preserve"> qui se demande comment pouvoir acquérir via une société civile</w:t>
      </w:r>
      <w:r w:rsidR="00961516">
        <w:t xml:space="preserve"> à l’</w:t>
      </w:r>
      <w:r>
        <w:t>impôt sur le revenu les locaux d’exploitation qu’il a trouvé, sans être obligé d’opter à l’impôt sur les sociétés afin d’en assurer le financement.</w:t>
      </w:r>
    </w:p>
    <w:p w14:paraId="42DCA892" w14:textId="77777777" w:rsidR="00EF0765" w:rsidRDefault="00EF0765" w:rsidP="00EF0765">
      <w:pPr>
        <w:pStyle w:val="Sansinterligne"/>
        <w:jc w:val="both"/>
      </w:pPr>
    </w:p>
    <w:p w14:paraId="42DCA894" w14:textId="0C6E9E08" w:rsidR="00EF0765" w:rsidRDefault="00EF0765" w:rsidP="00EF0765">
      <w:pPr>
        <w:pStyle w:val="Sansinterligne"/>
        <w:jc w:val="both"/>
      </w:pPr>
      <w:r>
        <w:lastRenderedPageBreak/>
        <w:t>La technique qui consiste à céder à la société d’exploitation l’usufruit des parts de la société civile immobilière pour un terme fixe permet de bénéficier des dispositions de l’article 238 bis K</w:t>
      </w:r>
      <w:r w:rsidR="00831945">
        <w:t xml:space="preserve"> (4)</w:t>
      </w:r>
      <w:r>
        <w:t>.</w:t>
      </w:r>
      <w:r>
        <w:rPr>
          <w:rStyle w:val="Appelnotedebasdep"/>
        </w:rPr>
        <w:footnoteReference w:id="5"/>
      </w:r>
      <w:r w:rsidR="00831945">
        <w:t xml:space="preserve"> </w:t>
      </w:r>
      <w:r>
        <w:t>De façon très schématique et volontairement simpliste, la détention de l’usufruit des parts de la société civile immobilière au travers d’une société commerciale assujettie à l’impôt sur les sociétés, oblige la société civile à respecter les règles de l’impôt société, tant pour sa comptabilité que pour la détermination de sa base fiscale.</w:t>
      </w:r>
    </w:p>
    <w:p w14:paraId="42DCA895" w14:textId="77777777" w:rsidR="00EF0765" w:rsidRDefault="00EF0765" w:rsidP="00EF0765">
      <w:pPr>
        <w:pStyle w:val="Sansinterligne"/>
        <w:jc w:val="both"/>
      </w:pPr>
    </w:p>
    <w:p w14:paraId="46D266AB" w14:textId="77777777" w:rsidR="00831945" w:rsidRDefault="00EF0765" w:rsidP="00EF0765">
      <w:pPr>
        <w:pStyle w:val="Sansinterligne"/>
        <w:jc w:val="both"/>
      </w:pPr>
      <w:r>
        <w:t>À l’e</w:t>
      </w:r>
      <w:r w:rsidR="00961516">
        <w:t>xtinction de l’usufruit, la plei</w:t>
      </w:r>
      <w:r>
        <w:t>ne propriété des parts de la société civile se trouve reconstituée dans le patrimoine de Monsieur L</w:t>
      </w:r>
      <w:r w:rsidR="00831945">
        <w:t>apierre</w:t>
      </w:r>
      <w:r>
        <w:t xml:space="preserve"> et ce sans aucun frottement fiscal</w:t>
      </w:r>
      <w:r w:rsidR="00831945">
        <w:t xml:space="preserve"> (5)</w:t>
      </w:r>
      <w:r>
        <w:t>.</w:t>
      </w:r>
      <w:r>
        <w:rPr>
          <w:rStyle w:val="Appelnotedebasdep"/>
        </w:rPr>
        <w:footnoteReference w:id="6"/>
      </w:r>
      <w:r w:rsidR="00831945">
        <w:t xml:space="preserve"> </w:t>
      </w:r>
      <w:r w:rsidR="00961516" w:rsidRPr="00383B88">
        <w:t xml:space="preserve">L’exercice le plus délicat consiste </w:t>
      </w:r>
      <w:r w:rsidR="00E224A4" w:rsidRPr="00383B88">
        <w:t>c</w:t>
      </w:r>
      <w:r w:rsidR="00961516" w:rsidRPr="00383B88">
        <w:t>alculer la valeur de l’usufruit !</w:t>
      </w:r>
      <w:r w:rsidR="00831945">
        <w:t xml:space="preserve"> </w:t>
      </w:r>
    </w:p>
    <w:p w14:paraId="76D1C732" w14:textId="77777777" w:rsidR="00831945" w:rsidRDefault="00831945" w:rsidP="00EF0765">
      <w:pPr>
        <w:pStyle w:val="Sansinterligne"/>
        <w:jc w:val="both"/>
      </w:pPr>
    </w:p>
    <w:p w14:paraId="6805B4C5" w14:textId="1F0D9357" w:rsidR="00961516" w:rsidRDefault="00961516" w:rsidP="00EF0765">
      <w:pPr>
        <w:pStyle w:val="Sansinterligne"/>
        <w:jc w:val="both"/>
      </w:pPr>
      <w:r>
        <w:t>Même si nous y reviendrons ultérieurement, il nous semble maintenant tout à fait évident que la seule méthode valable, équitable, et reconnu consiste à actualiser les cash-flows réellement disponibles au bénéfice de l’usufruitier compte tenu des modalités d’acquisition du bien immobilier par la société civile immobilière.</w:t>
      </w:r>
      <w:r w:rsidR="00831945">
        <w:t xml:space="preserve"> </w:t>
      </w:r>
      <w:r>
        <w:t>Cette méthode régulièrement intitulée DCF</w:t>
      </w:r>
      <w:r w:rsidR="00831945">
        <w:t xml:space="preserve"> (6)</w:t>
      </w:r>
      <w:r w:rsidR="009714B1">
        <w:rPr>
          <w:rStyle w:val="Appelnotedebasdep"/>
        </w:rPr>
        <w:footnoteReference w:id="7"/>
      </w:r>
      <w:r>
        <w:t xml:space="preserve"> par les praticiens consiste à actualiser les flux de trésorerie disponible, sur toute la période de l’usufruit.</w:t>
      </w:r>
    </w:p>
    <w:p w14:paraId="4FA72DD7" w14:textId="77777777" w:rsidR="00831945" w:rsidRDefault="00831945" w:rsidP="00EF0765">
      <w:pPr>
        <w:pStyle w:val="Sansinterligne"/>
        <w:jc w:val="both"/>
      </w:pPr>
    </w:p>
    <w:p w14:paraId="42B7BAC6" w14:textId="07BF442D" w:rsidR="00961516" w:rsidRDefault="00961516" w:rsidP="00EF0765">
      <w:pPr>
        <w:pStyle w:val="Sansinterligne"/>
        <w:jc w:val="both"/>
      </w:pPr>
      <w:r>
        <w:t>Les critères absolument déterminants sont donc :</w:t>
      </w:r>
    </w:p>
    <w:p w14:paraId="2871E200" w14:textId="77777777" w:rsidR="00831945" w:rsidRDefault="00831945" w:rsidP="009714B1">
      <w:pPr>
        <w:pStyle w:val="Sansinterligne"/>
        <w:ind w:left="708"/>
        <w:jc w:val="both"/>
      </w:pPr>
    </w:p>
    <w:p w14:paraId="36AE5F3F" w14:textId="03A9E990" w:rsidR="00961516" w:rsidRDefault="00961516" w:rsidP="009714B1">
      <w:pPr>
        <w:pStyle w:val="Sansinterligne"/>
        <w:ind w:left="708"/>
        <w:jc w:val="both"/>
      </w:pPr>
      <w:r>
        <w:t>1-quelle valeur de rendement retenir ?</w:t>
      </w:r>
    </w:p>
    <w:p w14:paraId="3593267E" w14:textId="1F849DB3" w:rsidR="00961516" w:rsidRDefault="00961516" w:rsidP="009714B1">
      <w:pPr>
        <w:pStyle w:val="Sansinterligne"/>
        <w:ind w:left="708"/>
        <w:jc w:val="both"/>
      </w:pPr>
      <w:r>
        <w:t>2-quelle durée choisir ?</w:t>
      </w:r>
    </w:p>
    <w:p w14:paraId="3DA29918" w14:textId="29B0EF9E" w:rsidR="00961516" w:rsidRDefault="00961516" w:rsidP="009714B1">
      <w:pPr>
        <w:pStyle w:val="Sansinterligne"/>
        <w:ind w:left="708"/>
        <w:jc w:val="both"/>
      </w:pPr>
      <w:r>
        <w:t>3-que faut-il retenir comme taux d’actualisation ?</w:t>
      </w:r>
    </w:p>
    <w:p w14:paraId="48C5DF01" w14:textId="77777777" w:rsidR="009714B1" w:rsidRDefault="009714B1" w:rsidP="009714B1">
      <w:pPr>
        <w:pStyle w:val="Sansinterligne"/>
        <w:ind w:left="708"/>
        <w:jc w:val="both"/>
      </w:pPr>
    </w:p>
    <w:p w14:paraId="6A08F63D" w14:textId="4C24B889" w:rsidR="009714B1" w:rsidRDefault="009714B1" w:rsidP="009714B1">
      <w:pPr>
        <w:pStyle w:val="Sansinterligne"/>
        <w:jc w:val="both"/>
        <w:rPr>
          <w:b/>
        </w:rPr>
      </w:pPr>
      <w:r w:rsidRPr="0013265B">
        <w:rPr>
          <w:b/>
        </w:rPr>
        <w:t>1-Quelle valeur de rendement ?</w:t>
      </w:r>
    </w:p>
    <w:p w14:paraId="10214ABB" w14:textId="77777777" w:rsidR="0041457C" w:rsidRPr="0013265B" w:rsidRDefault="0041457C" w:rsidP="009714B1">
      <w:pPr>
        <w:pStyle w:val="Sansinterligne"/>
        <w:jc w:val="both"/>
        <w:rPr>
          <w:b/>
        </w:rPr>
      </w:pPr>
    </w:p>
    <w:p w14:paraId="7BA2C242" w14:textId="120604C2" w:rsidR="000C0516" w:rsidRDefault="009714B1" w:rsidP="009714B1">
      <w:pPr>
        <w:pStyle w:val="Sansinterligne"/>
        <w:jc w:val="both"/>
      </w:pPr>
      <w:r>
        <w:t>En principe, les méthodes d’évaluation des titres d’une société non cotée doi</w:t>
      </w:r>
      <w:r w:rsidR="000C0516">
        <w:t>vent</w:t>
      </w:r>
      <w:r>
        <w:t xml:space="preserve"> permettre d’apprécier</w:t>
      </w:r>
      <w:r w:rsidR="000C0516">
        <w:t xml:space="preserve"> la valeur de la société compte</w:t>
      </w:r>
      <w:r>
        <w:t xml:space="preserve"> tenu de tous les éléments dont l’ensemble permet d’obtenir un chiffre aussi proche que possible </w:t>
      </w:r>
      <w:r w:rsidR="000C0516">
        <w:t>de</w:t>
      </w:r>
      <w:r>
        <w:t xml:space="preserve"> celui entraîné par le jeu de l’offre de la demande dans un marché concurrentiel. Ainsi dans la hiérarchie des techniques d’évaluation la méthode dite des comparables c’est-à-dire des transactions intervenues dans des conditions équivalentes emporte toujours la préférence du</w:t>
      </w:r>
      <w:r w:rsidR="005061EA">
        <w:t xml:space="preserve"> juge.</w:t>
      </w:r>
      <w:r w:rsidR="00831945">
        <w:t xml:space="preserve"> </w:t>
      </w:r>
      <w:r w:rsidR="000C0516">
        <w:t>Cependant, compte tenu de la spécificité de ce genre de transaction il est quasiment impossible de trouver des comparables pertinents.</w:t>
      </w:r>
    </w:p>
    <w:p w14:paraId="67AA0D62" w14:textId="59229C49" w:rsidR="000C0516" w:rsidRDefault="000C0516" w:rsidP="009714B1">
      <w:pPr>
        <w:pStyle w:val="Sansinterligne"/>
        <w:jc w:val="both"/>
      </w:pPr>
      <w:r>
        <w:t>La seule solution consiste bien évidemment à établir ce calcul sur la base des dividendes que l’usufruitier peut toucher. À ce titre, et comme l’a rappelé fort justement le conseil d’État dans son arrêt L</w:t>
      </w:r>
      <w:r w:rsidR="00831945">
        <w:t>uccotel</w:t>
      </w:r>
      <w:r>
        <w:t xml:space="preserve">, l’usufruitier n’a le droit qu’aux dividendes </w:t>
      </w:r>
      <w:r w:rsidRPr="00383B88">
        <w:rPr>
          <w:u w:val="single"/>
        </w:rPr>
        <w:t>distribués</w:t>
      </w:r>
      <w:r>
        <w:t xml:space="preserve">. Par ailleurs une jurisprudence abondante </w:t>
      </w:r>
      <w:r w:rsidR="00E224A4">
        <w:t xml:space="preserve">a </w:t>
      </w:r>
      <w:r>
        <w:t>consacr</w:t>
      </w:r>
      <w:r w:rsidR="00E224A4">
        <w:t>é</w:t>
      </w:r>
      <w:r>
        <w:t xml:space="preserve"> que les dividendes n’ont d’existence que lors</w:t>
      </w:r>
      <w:r w:rsidR="00E224A4">
        <w:t>que</w:t>
      </w:r>
      <w:r>
        <w:t xml:space="preserve"> d’une décision de l’organe social compétent l</w:t>
      </w:r>
      <w:r w:rsidR="00E224A4">
        <w:t>’</w:t>
      </w:r>
      <w:r>
        <w:t>a constatée.</w:t>
      </w:r>
    </w:p>
    <w:p w14:paraId="24186F45" w14:textId="77777777" w:rsidR="00831945" w:rsidRDefault="00831945" w:rsidP="009714B1">
      <w:pPr>
        <w:pStyle w:val="Sansinterligne"/>
        <w:jc w:val="both"/>
      </w:pPr>
    </w:p>
    <w:p w14:paraId="6B7F317B" w14:textId="6ED24A2B" w:rsidR="000C0516" w:rsidRDefault="00B135B6" w:rsidP="009714B1">
      <w:pPr>
        <w:pStyle w:val="Sansinterligne"/>
        <w:jc w:val="both"/>
      </w:pPr>
      <w:r>
        <w:t xml:space="preserve">Par conséquent, et comme cela vient d’être confirmé par le conseil d’État, </w:t>
      </w:r>
      <w:r w:rsidR="00E224A4">
        <w:t>l’</w:t>
      </w:r>
      <w:r>
        <w:t>évaluation du revenu futur attendu par l’usufruitier de parts sociales ne peut avoir pour objet que de déterminer le montant des distributions prévisionnelles.</w:t>
      </w:r>
      <w:r w:rsidR="00831945">
        <w:t xml:space="preserve"> </w:t>
      </w:r>
      <w:r>
        <w:t>Ainsi, le montant des distributions va être fonction des annuités prévisionnelles de remboursement d’emprunt, et de mise en réserve, pour le financement des investissements actuels ou futurs.</w:t>
      </w:r>
    </w:p>
    <w:p w14:paraId="4A6FCEDD" w14:textId="58929866" w:rsidR="00B135B6" w:rsidRDefault="00E224A4" w:rsidP="009714B1">
      <w:pPr>
        <w:pStyle w:val="Sansinterligne"/>
        <w:jc w:val="both"/>
      </w:pPr>
      <w:r>
        <w:t>D</w:t>
      </w:r>
      <w:r w:rsidR="00B135B6">
        <w:t xml:space="preserve">ans le cas de Monsieur </w:t>
      </w:r>
      <w:r w:rsidR="00831945">
        <w:t xml:space="preserve">Lapierre, </w:t>
      </w:r>
      <w:r w:rsidR="00B135B6">
        <w:t xml:space="preserve">pendant toute la durée du remboursement de l’emprunt, le montant maximum du dividende que la société civile </w:t>
      </w:r>
      <w:r w:rsidR="00B31C2B">
        <w:t xml:space="preserve">va </w:t>
      </w:r>
      <w:r w:rsidR="00B135B6">
        <w:t xml:space="preserve">pouvoir distribuer </w:t>
      </w:r>
      <w:r w:rsidR="00B31C2B">
        <w:t>à l’</w:t>
      </w:r>
      <w:r w:rsidR="00B135B6">
        <w:t>usufruitier va être représenté par l’excédent de loyer sur le remboursement de l’emprunt.</w:t>
      </w:r>
    </w:p>
    <w:p w14:paraId="3A1FDB35" w14:textId="42C7C612" w:rsidR="00B135B6" w:rsidRDefault="00B135B6" w:rsidP="009714B1">
      <w:pPr>
        <w:pStyle w:val="Sansinterligne"/>
        <w:jc w:val="both"/>
      </w:pPr>
      <w:r>
        <w:t>Un auteur, a cru lire dans la décision du conseil d’État, qu’il convenait de ne pas tenir compte de l’impôt théorique, puisque la haute cour n’a pas retenu ce terme dans sa décision.</w:t>
      </w:r>
      <w:r w:rsidR="00831945">
        <w:t xml:space="preserve"> </w:t>
      </w:r>
      <w:r>
        <w:t xml:space="preserve">En réalité, le conseil d’État </w:t>
      </w:r>
      <w:r>
        <w:lastRenderedPageBreak/>
        <w:t>ne s’est pas prononcé sur cette question tout simplement parce cette question ne lui était pas posée !</w:t>
      </w:r>
      <w:r w:rsidR="00831945">
        <w:t xml:space="preserve"> </w:t>
      </w:r>
      <w:r>
        <w:t>De plus, et de très longue date, l’administration a toujours admi</w:t>
      </w:r>
      <w:r w:rsidR="0041457C">
        <w:t>s</w:t>
      </w:r>
      <w:r>
        <w:t xml:space="preserve"> la prise en compte d’un impôt théorique, ce qu’elle écrit expressément dans son guide de l’évaluation, et qu’elle a elle-même retenue, devant la cour administrative d’appel de Nantes dans l’arrêt L</w:t>
      </w:r>
      <w:r w:rsidR="00831945">
        <w:t>uccotel</w:t>
      </w:r>
      <w:r>
        <w:t xml:space="preserve"> précité. </w:t>
      </w:r>
    </w:p>
    <w:p w14:paraId="607E5D41" w14:textId="6E2EED0A" w:rsidR="00320D50" w:rsidRDefault="00831945" w:rsidP="009714B1">
      <w:pPr>
        <w:pStyle w:val="Sansinterligne"/>
        <w:jc w:val="both"/>
      </w:pPr>
      <w:r>
        <w:br/>
      </w:r>
      <w:r w:rsidR="00320D50" w:rsidRPr="00320D50">
        <w:t>Ce chapitre mérite sans doute un petit développement</w:t>
      </w:r>
      <w:r>
        <w:t xml:space="preserve"> (7).</w:t>
      </w:r>
      <w:r w:rsidR="00320D50">
        <w:rPr>
          <w:rStyle w:val="Appelnotedebasdep"/>
        </w:rPr>
        <w:footnoteReference w:id="8"/>
      </w:r>
    </w:p>
    <w:p w14:paraId="5E0FE842" w14:textId="77777777" w:rsidR="00B31C2B" w:rsidRDefault="00B31C2B" w:rsidP="009714B1">
      <w:pPr>
        <w:pStyle w:val="Sansinterligne"/>
        <w:jc w:val="both"/>
      </w:pPr>
    </w:p>
    <w:p w14:paraId="79EFE39C" w14:textId="7507B198" w:rsidR="00320D50" w:rsidRPr="00383B88" w:rsidRDefault="00320D50" w:rsidP="00383B88">
      <w:pPr>
        <w:pStyle w:val="Sansinterligne"/>
        <w:jc w:val="both"/>
        <w:rPr>
          <w:sz w:val="20"/>
        </w:rPr>
      </w:pPr>
      <w:r w:rsidRPr="00383B88">
        <w:rPr>
          <w:sz w:val="20"/>
        </w:rPr>
        <w:t xml:space="preserve">Soit deux propositions </w:t>
      </w:r>
      <w:r w:rsidR="0041457C" w:rsidRPr="00383B88">
        <w:rPr>
          <w:sz w:val="20"/>
        </w:rPr>
        <w:t>d’investissements</w:t>
      </w:r>
      <w:r w:rsidRPr="00383B88">
        <w:rPr>
          <w:sz w:val="20"/>
        </w:rPr>
        <w:t xml:space="preserve"> consistant à acquérir l’usufruit sur 10 ans de parts de SCI susceptibles de distribuer chacune 15 000 </w:t>
      </w:r>
      <w:r w:rsidR="00831945">
        <w:rPr>
          <w:sz w:val="20"/>
        </w:rPr>
        <w:t>euros</w:t>
      </w:r>
      <w:r w:rsidRPr="00383B88">
        <w:rPr>
          <w:sz w:val="20"/>
        </w:rPr>
        <w:t xml:space="preserve"> par an, rendement du bien net de charges usufruitières</w:t>
      </w:r>
      <w:r w:rsidR="0041457C">
        <w:rPr>
          <w:sz w:val="20"/>
        </w:rPr>
        <w:t>.</w:t>
      </w:r>
      <w:r w:rsidR="00831945">
        <w:rPr>
          <w:sz w:val="20"/>
        </w:rPr>
        <w:t xml:space="preserve"> </w:t>
      </w:r>
      <w:r w:rsidR="00831945">
        <w:rPr>
          <w:sz w:val="20"/>
        </w:rPr>
        <w:br/>
      </w:r>
      <w:r w:rsidRPr="00383B88">
        <w:rPr>
          <w:sz w:val="20"/>
        </w:rPr>
        <w:t>Chacune des SCI possède un bien de même nature, même adresse, même étage, même superficie et même confort : Deux appartements jumeaux !</w:t>
      </w:r>
      <w:r w:rsidR="00831945">
        <w:rPr>
          <w:sz w:val="20"/>
        </w:rPr>
        <w:t xml:space="preserve"> La première, SCIIS est</w:t>
      </w:r>
      <w:r w:rsidRPr="00383B88">
        <w:rPr>
          <w:sz w:val="20"/>
        </w:rPr>
        <w:t xml:space="preserve"> assujettie à l’IS quand la seconde SCIIR reste à l’IR.</w:t>
      </w:r>
      <w:r w:rsidR="00831945">
        <w:rPr>
          <w:sz w:val="20"/>
        </w:rPr>
        <w:t xml:space="preserve"> </w:t>
      </w:r>
      <w:r w:rsidRPr="00383B88">
        <w:rPr>
          <w:sz w:val="20"/>
        </w:rPr>
        <w:t>Le promoteur, particulièrement malin, demande à nos investisseurs de faire une offre sous plis cachetés.</w:t>
      </w:r>
      <w:r w:rsidR="00831945">
        <w:rPr>
          <w:sz w:val="20"/>
        </w:rPr>
        <w:t xml:space="preserve"> La SCIIS va distribuer 12.750 euros</w:t>
      </w:r>
      <w:r w:rsidRPr="00383B88">
        <w:rPr>
          <w:sz w:val="20"/>
        </w:rPr>
        <w:t xml:space="preserve"> en tenant compte d’un IS au taux de 15%</w:t>
      </w:r>
      <w:r w:rsidR="00831945">
        <w:rPr>
          <w:sz w:val="20"/>
        </w:rPr>
        <w:t xml:space="preserve">. </w:t>
      </w:r>
      <w:r w:rsidRPr="00383B88">
        <w:rPr>
          <w:sz w:val="20"/>
        </w:rPr>
        <w:t xml:space="preserve">L’investisseur va opter pour le PFU, il lui restera 8.925 </w:t>
      </w:r>
      <w:r w:rsidR="00831945">
        <w:rPr>
          <w:sz w:val="20"/>
        </w:rPr>
        <w:t>euros</w:t>
      </w:r>
      <w:r w:rsidRPr="00383B88">
        <w:rPr>
          <w:sz w:val="20"/>
        </w:rPr>
        <w:t>.</w:t>
      </w:r>
      <w:r w:rsidR="00831945">
        <w:rPr>
          <w:sz w:val="20"/>
        </w:rPr>
        <w:t xml:space="preserve"> La SCIIR va distribuer 15 000 euros</w:t>
      </w:r>
      <w:r w:rsidRPr="00383B88">
        <w:rPr>
          <w:sz w:val="20"/>
        </w:rPr>
        <w:t>.</w:t>
      </w:r>
    </w:p>
    <w:p w14:paraId="125640F8" w14:textId="330341DA" w:rsidR="00320D50" w:rsidRPr="00383B88" w:rsidRDefault="00831945" w:rsidP="00383B88">
      <w:pPr>
        <w:pStyle w:val="Sansinterligne"/>
        <w:jc w:val="both"/>
        <w:rPr>
          <w:sz w:val="20"/>
        </w:rPr>
      </w:pPr>
      <w:r>
        <w:rPr>
          <w:sz w:val="20"/>
        </w:rPr>
        <w:br/>
      </w:r>
      <w:r w:rsidR="00320D50" w:rsidRPr="00383B88">
        <w:rPr>
          <w:sz w:val="20"/>
        </w:rPr>
        <w:t>L’investisseur va payer (41%+17.2%), il lui</w:t>
      </w:r>
      <w:r>
        <w:rPr>
          <w:sz w:val="20"/>
        </w:rPr>
        <w:t xml:space="preserve"> restera 6 270 euros</w:t>
      </w:r>
      <w:r w:rsidR="00320D50" w:rsidRPr="00383B88">
        <w:rPr>
          <w:sz w:val="20"/>
        </w:rPr>
        <w:t>.</w:t>
      </w:r>
    </w:p>
    <w:p w14:paraId="39170F69" w14:textId="486E2405" w:rsidR="00320D50" w:rsidRPr="00383B88" w:rsidRDefault="00831945" w:rsidP="00383B88">
      <w:pPr>
        <w:pStyle w:val="Sansinterligne"/>
        <w:jc w:val="both"/>
        <w:rPr>
          <w:sz w:val="20"/>
        </w:rPr>
      </w:pPr>
      <w:r>
        <w:rPr>
          <w:sz w:val="20"/>
        </w:rPr>
        <w:br/>
      </w:r>
      <w:r w:rsidR="00320D50" w:rsidRPr="00383B88">
        <w:rPr>
          <w:sz w:val="20"/>
        </w:rPr>
        <w:t xml:space="preserve">En toute objectivité, le montant </w:t>
      </w:r>
      <w:r>
        <w:rPr>
          <w:sz w:val="20"/>
        </w:rPr>
        <w:t xml:space="preserve">distribué par la SCIIR, 15.000 </w:t>
      </w:r>
      <w:r>
        <w:rPr>
          <w:sz w:val="20"/>
        </w:rPr>
        <w:t>euros</w:t>
      </w:r>
      <w:r w:rsidR="00320D50" w:rsidRPr="00383B88">
        <w:rPr>
          <w:sz w:val="20"/>
        </w:rPr>
        <w:t>, est préférable au montant di</w:t>
      </w:r>
      <w:r>
        <w:rPr>
          <w:sz w:val="20"/>
        </w:rPr>
        <w:t xml:space="preserve">stribué par la SCIIS de 12.750 </w:t>
      </w:r>
      <w:r>
        <w:rPr>
          <w:sz w:val="20"/>
        </w:rPr>
        <w:t>euros</w:t>
      </w:r>
      <w:r w:rsidR="00320D50" w:rsidRPr="00383B88">
        <w:rPr>
          <w:sz w:val="20"/>
        </w:rPr>
        <w:t>… Et dans l’hypothèse d’une acquisition d’usufruit sur 10 ans, la valeur objective de la SCIIR sera donc plus élevée que la valeur objective de la SCIIS.</w:t>
      </w:r>
    </w:p>
    <w:p w14:paraId="44B6F2F4" w14:textId="16C8AC99" w:rsidR="00320D50" w:rsidRPr="00383B88" w:rsidRDefault="00320D50" w:rsidP="00383B88">
      <w:pPr>
        <w:pStyle w:val="Sansinterligne"/>
        <w:jc w:val="both"/>
        <w:rPr>
          <w:b/>
          <w:sz w:val="20"/>
        </w:rPr>
      </w:pPr>
      <w:r w:rsidRPr="00383B88">
        <w:rPr>
          <w:b/>
          <w:sz w:val="20"/>
        </w:rPr>
        <w:t>Mais, en toute subjectivité, un investisseur obje</w:t>
      </w:r>
      <w:r w:rsidR="00831945">
        <w:rPr>
          <w:b/>
          <w:sz w:val="20"/>
        </w:rPr>
        <w:t xml:space="preserve">ctif va préférer toucher 8.925 </w:t>
      </w:r>
      <w:r w:rsidR="00831945">
        <w:rPr>
          <w:sz w:val="20"/>
        </w:rPr>
        <w:t>euros</w:t>
      </w:r>
      <w:r w:rsidRPr="00383B88">
        <w:rPr>
          <w:b/>
          <w:sz w:val="20"/>
        </w:rPr>
        <w:t xml:space="preserve"> plutôt que 6.270 €… ce qui l’incitera à donner une valeur subjective à la SCIIS supérieure à celle de la SCIIR !</w:t>
      </w:r>
    </w:p>
    <w:p w14:paraId="41CD2D80" w14:textId="77777777" w:rsidR="00320D50" w:rsidRPr="00383B88" w:rsidRDefault="00320D50" w:rsidP="00383B88">
      <w:pPr>
        <w:pStyle w:val="Sansinterligne"/>
        <w:jc w:val="both"/>
        <w:rPr>
          <w:sz w:val="20"/>
        </w:rPr>
      </w:pPr>
    </w:p>
    <w:p w14:paraId="3F90D118" w14:textId="603D181B" w:rsidR="00320D50" w:rsidRPr="00383B88" w:rsidRDefault="00320D50" w:rsidP="00383B88">
      <w:pPr>
        <w:pStyle w:val="Sansinterligne"/>
        <w:jc w:val="both"/>
        <w:rPr>
          <w:sz w:val="20"/>
        </w:rPr>
      </w:pPr>
      <w:r w:rsidRPr="00383B88">
        <w:rPr>
          <w:sz w:val="20"/>
        </w:rPr>
        <w:t>Il ne faut pas faire dire à l’arrêt du conseil d’État du 30 septembre 2019 autre chose que ce que la Haute cour a voulu réaffirmer avec force. </w:t>
      </w:r>
      <w:r w:rsidR="00831945">
        <w:rPr>
          <w:sz w:val="20"/>
        </w:rPr>
        <w:t xml:space="preserve"> </w:t>
      </w:r>
      <w:r w:rsidRPr="00383B88">
        <w:rPr>
          <w:sz w:val="20"/>
        </w:rPr>
        <w:t>Le Conseil d’Etat rappelle l’impérieuse nécessité pour les juridictions du fond de distinguer le revenu distribuable du revenu distribué et de procéder à une appréciation factuelle des flux de revenus.</w:t>
      </w:r>
    </w:p>
    <w:p w14:paraId="31B24961" w14:textId="77777777" w:rsidR="00320D50" w:rsidRPr="00383B88" w:rsidRDefault="00320D50" w:rsidP="00383B88">
      <w:pPr>
        <w:pStyle w:val="Sansinterligne"/>
        <w:jc w:val="both"/>
        <w:rPr>
          <w:sz w:val="20"/>
        </w:rPr>
      </w:pPr>
    </w:p>
    <w:p w14:paraId="6ECDD638" w14:textId="12C7C509" w:rsidR="00320D50" w:rsidRPr="00383B88" w:rsidRDefault="00320D50" w:rsidP="00383B88">
      <w:pPr>
        <w:pStyle w:val="Sansinterligne"/>
        <w:jc w:val="both"/>
        <w:rPr>
          <w:sz w:val="20"/>
        </w:rPr>
      </w:pPr>
      <w:r w:rsidRPr="00383B88">
        <w:rPr>
          <w:sz w:val="20"/>
        </w:rPr>
        <w:t>Lorsqu’il s’agit d’actualiser des flux futurs l’on doit tenir compte des dividendes que la société distribue.</w:t>
      </w:r>
      <w:r w:rsidR="00831945">
        <w:rPr>
          <w:sz w:val="20"/>
        </w:rPr>
        <w:t xml:space="preserve"> </w:t>
      </w:r>
      <w:r w:rsidRPr="00383B88">
        <w:rPr>
          <w:sz w:val="20"/>
        </w:rPr>
        <w:t>Afin de respecter l’égalité entre les différents investissements, le guide</w:t>
      </w:r>
      <w:r w:rsidR="00831945">
        <w:rPr>
          <w:sz w:val="20"/>
        </w:rPr>
        <w:t xml:space="preserve"> (8)</w:t>
      </w:r>
      <w:r w:rsidRPr="00383B88">
        <w:rPr>
          <w:sz w:val="20"/>
          <w:vertAlign w:val="superscript"/>
        </w:rPr>
        <w:footnoteReference w:id="9"/>
      </w:r>
      <w:r w:rsidRPr="00383B88">
        <w:rPr>
          <w:sz w:val="20"/>
          <w:vertAlign w:val="superscript"/>
        </w:rPr>
        <w:t xml:space="preserve"> </w:t>
      </w:r>
      <w:r w:rsidRPr="00383B88">
        <w:rPr>
          <w:sz w:val="20"/>
        </w:rPr>
        <w:t>de l’administration fiscale lui-même  demande à ses agents de tenir compte d’un impôt théorique de 33 % pour rendre comparable les dividendes susceptibles d’être distribués par des sociétés dont le régime fiscal est différent.</w:t>
      </w:r>
      <w:r w:rsidR="00831945">
        <w:rPr>
          <w:sz w:val="20"/>
        </w:rPr>
        <w:t xml:space="preserve"> </w:t>
      </w:r>
      <w:r w:rsidRPr="00383B88">
        <w:rPr>
          <w:sz w:val="20"/>
        </w:rPr>
        <w:t>Ainsi, il ne s’agit absolument pas de permettre de déduire l’imposition ultérieure due par la société usufruitière, mais plus simplement et beaucoup plus logiquement, de tenir compte d’un impôt fictif permettant de prendre en compte l’inégalité des situations, ainsi que le précise l’administra</w:t>
      </w:r>
      <w:r w:rsidR="00831945">
        <w:rPr>
          <w:sz w:val="20"/>
        </w:rPr>
        <w:t>tion fiscale elle-même dans son</w:t>
      </w:r>
      <w:r w:rsidRPr="00383B88">
        <w:rPr>
          <w:sz w:val="20"/>
        </w:rPr>
        <w:t xml:space="preserve"> guide précité. </w:t>
      </w:r>
    </w:p>
    <w:p w14:paraId="69A01415" w14:textId="77777777" w:rsidR="00320D50" w:rsidRPr="00383B88" w:rsidRDefault="00320D50" w:rsidP="00383B88">
      <w:pPr>
        <w:pStyle w:val="Sansinterligne"/>
        <w:jc w:val="both"/>
      </w:pPr>
    </w:p>
    <w:p w14:paraId="234E207E" w14:textId="7985A9D1" w:rsidR="00B31C2B" w:rsidRDefault="00320D50" w:rsidP="009714B1">
      <w:pPr>
        <w:pStyle w:val="Sansinterligne"/>
        <w:jc w:val="both"/>
      </w:pPr>
      <w:r w:rsidRPr="00320D50">
        <w:t>En conclusion sur ce chapitre</w:t>
      </w:r>
      <w:r w:rsidR="00831945">
        <w:t>, dans la situation de Monsieur Lapierre,</w:t>
      </w:r>
      <w:r w:rsidRPr="00320D50">
        <w:t xml:space="preserve"> il faudra actualiser le rendement obtenu par la différence entre loyers encaissés,</w:t>
      </w:r>
      <w:r w:rsidR="00831945">
        <w:t xml:space="preserve"> </w:t>
      </w:r>
      <w:r>
        <w:t>les charges payées, l’annuité</w:t>
      </w:r>
      <w:r w:rsidRPr="00320D50">
        <w:t xml:space="preserve"> de remboursement d'emprunt, le tout évidemment sou</w:t>
      </w:r>
      <w:r>
        <w:t>s</w:t>
      </w:r>
      <w:r w:rsidRPr="00320D50">
        <w:t xml:space="preserve"> déduction d</w:t>
      </w:r>
      <w:r>
        <w:t xml:space="preserve">’un </w:t>
      </w:r>
      <w:r w:rsidRPr="00320D50">
        <w:t>impôt théorique qu'il convie</w:t>
      </w:r>
      <w:r>
        <w:t>nt</w:t>
      </w:r>
      <w:r w:rsidRPr="00320D50">
        <w:t xml:space="preserve"> pour le futur de limiter à 25 %</w:t>
      </w:r>
      <w:r w:rsidR="0041457C">
        <w:t>.</w:t>
      </w:r>
    </w:p>
    <w:p w14:paraId="75668868" w14:textId="77777777" w:rsidR="00961516" w:rsidRDefault="00961516" w:rsidP="00EF0765">
      <w:pPr>
        <w:pStyle w:val="Sansinterligne"/>
        <w:jc w:val="both"/>
      </w:pPr>
    </w:p>
    <w:p w14:paraId="2BF184BA" w14:textId="7D32BF09" w:rsidR="00320D50" w:rsidRDefault="00320D50" w:rsidP="0013265B">
      <w:pPr>
        <w:pStyle w:val="Sansinterligne"/>
        <w:jc w:val="both"/>
        <w:rPr>
          <w:b/>
        </w:rPr>
      </w:pPr>
      <w:r w:rsidRPr="0013265B">
        <w:rPr>
          <w:b/>
        </w:rPr>
        <w:t>2-</w:t>
      </w:r>
      <w:r w:rsidR="0041457C">
        <w:rPr>
          <w:b/>
        </w:rPr>
        <w:t>Q</w:t>
      </w:r>
      <w:r w:rsidRPr="0013265B">
        <w:rPr>
          <w:b/>
        </w:rPr>
        <w:t>uelle durée choisir ?</w:t>
      </w:r>
    </w:p>
    <w:p w14:paraId="38D0C9B7" w14:textId="77777777" w:rsidR="00320D50" w:rsidRDefault="00320D50" w:rsidP="0013265B">
      <w:pPr>
        <w:pStyle w:val="Sansinterligne"/>
        <w:jc w:val="both"/>
        <w:rPr>
          <w:b/>
        </w:rPr>
      </w:pPr>
    </w:p>
    <w:p w14:paraId="3CD749F9" w14:textId="536D5C45" w:rsidR="00320D50" w:rsidRDefault="00320D50" w:rsidP="0013265B">
      <w:pPr>
        <w:pStyle w:val="Sansinterligne"/>
        <w:jc w:val="both"/>
      </w:pPr>
      <w:r w:rsidRPr="0013265B">
        <w:t xml:space="preserve">Le regretté Fernand Raynaud aurait sans doute dit comme pour le </w:t>
      </w:r>
      <w:r w:rsidR="0041457C" w:rsidRPr="0013265B">
        <w:t>f</w:t>
      </w:r>
      <w:r w:rsidR="0041457C">
        <w:t>ût</w:t>
      </w:r>
      <w:r w:rsidR="0041457C" w:rsidRPr="0013265B">
        <w:t xml:space="preserve"> </w:t>
      </w:r>
      <w:r w:rsidRPr="0013265B">
        <w:t>du canon qu'il faut un certain temps.</w:t>
      </w:r>
      <w:r w:rsidR="00831945">
        <w:t xml:space="preserve"> </w:t>
      </w:r>
      <w:r w:rsidRPr="0013265B">
        <w:t>Plus sérieusement la durée doit être calculée en fonction du bénéfice financier que la société d'exploitation doit tirer de mon investissement. La première évidence consiste à choisir une durée qui excède la durée totale de remboursement de l'emprunt.</w:t>
      </w:r>
      <w:r w:rsidR="00831945">
        <w:t xml:space="preserve"> </w:t>
      </w:r>
      <w:r w:rsidRPr="0013265B">
        <w:t xml:space="preserve">Dans la plupart des cas la durée de l'usufruit excédera la durée de l'emprunt de deux ans, parfois l'intérêt de la société commandera </w:t>
      </w:r>
      <w:r w:rsidR="0041457C">
        <w:t>de</w:t>
      </w:r>
      <w:r w:rsidR="0041457C" w:rsidRPr="0013265B">
        <w:t xml:space="preserve"> </w:t>
      </w:r>
      <w:r w:rsidRPr="0013265B">
        <w:t>choisir une durée encore plus longue, il s'agit somme toute d'un calcul financier qui aboutit à un montant d'actualisation dont le rendement soit largement favorable pour la société d'exploitation</w:t>
      </w:r>
      <w:r w:rsidR="00AD0692">
        <w:t>.</w:t>
      </w:r>
    </w:p>
    <w:p w14:paraId="32FCDA9F" w14:textId="22F119B0" w:rsidR="00AD0692" w:rsidRPr="0013265B" w:rsidRDefault="00AD0692" w:rsidP="0013265B">
      <w:pPr>
        <w:pStyle w:val="Sansinterligne"/>
        <w:jc w:val="both"/>
      </w:pPr>
      <w:r w:rsidRPr="00AD0692">
        <w:t>À titre d'exemple, dans la situation présente</w:t>
      </w:r>
      <w:r w:rsidR="0041457C">
        <w:t>,</w:t>
      </w:r>
      <w:r w:rsidRPr="00AD0692">
        <w:t xml:space="preserve"> dans le cas de Monsieur Lapierre, nous préconisons une durée de l'usufruit de 19 ans aboutissant à une valeur de l'usufruit de 17 260 </w:t>
      </w:r>
      <w:r w:rsidR="00831945">
        <w:t>euros.</w:t>
      </w:r>
    </w:p>
    <w:p w14:paraId="2A3D9CCA" w14:textId="77777777" w:rsidR="00320D50" w:rsidRDefault="00320D50" w:rsidP="0013265B">
      <w:pPr>
        <w:pStyle w:val="Sansinterligne"/>
        <w:jc w:val="both"/>
        <w:rPr>
          <w:b/>
        </w:rPr>
      </w:pPr>
    </w:p>
    <w:p w14:paraId="6B7DAE9B" w14:textId="77777777" w:rsidR="00320D50" w:rsidRDefault="00320D50" w:rsidP="0013265B">
      <w:pPr>
        <w:pStyle w:val="Sansinterligne"/>
        <w:jc w:val="both"/>
        <w:rPr>
          <w:b/>
        </w:rPr>
      </w:pPr>
      <w:r w:rsidRPr="0013265B">
        <w:rPr>
          <w:b/>
        </w:rPr>
        <w:t>3-que faut-il retenir comme taux d’actualisation ?</w:t>
      </w:r>
    </w:p>
    <w:p w14:paraId="11B504C0" w14:textId="77777777" w:rsidR="0041457C" w:rsidRPr="0013265B" w:rsidRDefault="0041457C" w:rsidP="0013265B">
      <w:pPr>
        <w:pStyle w:val="Sansinterligne"/>
        <w:jc w:val="both"/>
        <w:rPr>
          <w:b/>
        </w:rPr>
      </w:pPr>
    </w:p>
    <w:p w14:paraId="13AA61B8" w14:textId="77777777" w:rsidR="005545F2" w:rsidRDefault="005545F2" w:rsidP="005545F2">
      <w:pPr>
        <w:pStyle w:val="Sansinterligne"/>
        <w:jc w:val="both"/>
      </w:pPr>
      <w:r>
        <w:t>Sur cette question, le conseil d'État ne s'est pas prononcé, là encore sans doute parce que la question ne lui a pas été posée.</w:t>
      </w:r>
    </w:p>
    <w:p w14:paraId="3B94ED64" w14:textId="59CCEDBD" w:rsidR="00CE2575" w:rsidRDefault="005545F2" w:rsidP="00CE2575">
      <w:pPr>
        <w:pStyle w:val="Sansinterligne"/>
        <w:jc w:val="both"/>
      </w:pPr>
      <w:r>
        <w:t>Dans l'arrêt L</w:t>
      </w:r>
      <w:r w:rsidR="00831945">
        <w:t>uccotel</w:t>
      </w:r>
      <w:r>
        <w:t xml:space="preserve">, </w:t>
      </w:r>
      <w:r w:rsidR="00D855C2">
        <w:t xml:space="preserve">et devant la cour d’appel de Nantes, </w:t>
      </w:r>
      <w:r>
        <w:t>l'administration fiscale proposait de retenir un taux de rendement théorique, comme le préconisait le rapporteur public alors que la société avait choisi de retenir le taux de rendement de l'actif.</w:t>
      </w:r>
      <w:r w:rsidR="00FE0885">
        <w:t xml:space="preserve"> </w:t>
      </w:r>
      <w:r w:rsidR="00CE2575">
        <w:t>De très nombreux commentaires sont venus alimenter ce débat déterminant.</w:t>
      </w:r>
    </w:p>
    <w:p w14:paraId="25C951F0" w14:textId="77777777" w:rsidR="00FE0885" w:rsidRDefault="00FE0885" w:rsidP="00CE2575">
      <w:pPr>
        <w:pStyle w:val="Sansinterligne"/>
        <w:jc w:val="both"/>
      </w:pPr>
    </w:p>
    <w:p w14:paraId="718B55C2" w14:textId="66655FDE" w:rsidR="00CE2575" w:rsidRDefault="00CE2575" w:rsidP="00CE2575">
      <w:pPr>
        <w:pStyle w:val="Sansinterligne"/>
        <w:jc w:val="both"/>
      </w:pPr>
      <w:r>
        <w:t>Parfois en se contentant simplement de critiquer les solutions retenues sans apporter de réponse ni sur la méthode, ni sur la philosophie à retenir</w:t>
      </w:r>
      <w:r w:rsidR="00FE0885">
        <w:t xml:space="preserve"> (9)</w:t>
      </w:r>
      <w:r>
        <w:rPr>
          <w:rStyle w:val="Appelnotedebasdep"/>
        </w:rPr>
        <w:footnoteReference w:id="10"/>
      </w:r>
      <w:r w:rsidR="00FE0885">
        <w:t xml:space="preserve">. </w:t>
      </w:r>
      <w:r w:rsidRPr="00CE2575">
        <w:t>D'autres ont apporté une critique plus constructive en affirmant que la méthode d'évaluation doit définir des prix de la nue-propriété et de l'usufruit tel qu'ils offrent le même taux de rendement interne de l'investissement pour l'usufruitier et le nu-propriétaire</w:t>
      </w:r>
      <w:r w:rsidR="00FE0885">
        <w:t xml:space="preserve"> (10).</w:t>
      </w:r>
      <w:r>
        <w:rPr>
          <w:rStyle w:val="Appelnotedebasdep"/>
        </w:rPr>
        <w:footnoteReference w:id="11"/>
      </w:r>
    </w:p>
    <w:p w14:paraId="26D96549" w14:textId="33229935" w:rsidR="008C2BD3" w:rsidRDefault="008C2BD3" w:rsidP="008C2BD3">
      <w:pPr>
        <w:pStyle w:val="Sansinterligne"/>
        <w:jc w:val="both"/>
      </w:pPr>
      <w:r w:rsidRPr="008C2BD3">
        <w:t xml:space="preserve">Il s'agit d'un débat assez technique dont le lecteur passionné pourra trouver l'exégèse dans l'ouvrage paru aux éditions </w:t>
      </w:r>
      <w:r w:rsidR="0041457C">
        <w:t>G</w:t>
      </w:r>
      <w:r w:rsidRPr="008C2BD3">
        <w:t xml:space="preserve">roupe </w:t>
      </w:r>
      <w:r w:rsidR="0041457C">
        <w:t>R</w:t>
      </w:r>
      <w:r w:rsidRPr="008C2BD3">
        <w:t>evu</w:t>
      </w:r>
      <w:r w:rsidR="0041457C">
        <w:t>e</w:t>
      </w:r>
      <w:r w:rsidRPr="008C2BD3">
        <w:t xml:space="preserve"> </w:t>
      </w:r>
      <w:r w:rsidR="0041457C">
        <w:t>F</w:t>
      </w:r>
      <w:r w:rsidRPr="008C2BD3">
        <w:t xml:space="preserve">iduciaire, troisième édition sous le titre </w:t>
      </w:r>
      <w:r w:rsidR="0041457C">
        <w:t>« D</w:t>
      </w:r>
      <w:r w:rsidRPr="008C2BD3">
        <w:t>émembrement de l'immobilier d'entreprise</w:t>
      </w:r>
      <w:r w:rsidR="0041457C">
        <w:t> »</w:t>
      </w:r>
      <w:r w:rsidRPr="008C2BD3">
        <w:t xml:space="preserve"> et sous la plume de Laurent Benoudiz, Sylvain G</w:t>
      </w:r>
      <w:r w:rsidR="00FE0885">
        <w:t>uillaud Bataille</w:t>
      </w:r>
      <w:r w:rsidRPr="008C2BD3">
        <w:t xml:space="preserve"> et Serge A</w:t>
      </w:r>
      <w:r w:rsidR="00FE0885">
        <w:t>nouchian (11)</w:t>
      </w:r>
      <w:r w:rsidR="0041457C">
        <w:rPr>
          <w:rStyle w:val="Appelnotedebasdep"/>
        </w:rPr>
        <w:footnoteReference w:id="12"/>
      </w:r>
      <w:r w:rsidRPr="008C2BD3">
        <w:t>.</w:t>
      </w:r>
      <w:r w:rsidR="00FE0885">
        <w:t xml:space="preserve"> </w:t>
      </w:r>
      <w:r>
        <w:t>En substance, nous préconisons de retenir le taux de rendement interne du bien comme étant un taux incontestable et adapté à la situation particulière, mais que ce taux soit augmenté du taux d'indexation ou de revalorisation des loyers afin de partager équitablement le rendement entre le nu-propriétaire et l'usufruitier.</w:t>
      </w:r>
      <w:r w:rsidR="00FE0885">
        <w:t xml:space="preserve"> </w:t>
      </w:r>
      <w:r>
        <w:t>Ainsi dans l'exemple de Monsieur Lapierre, le taux de rendement interne du bien e</w:t>
      </w:r>
      <w:r w:rsidR="0041457C">
        <w:t>s</w:t>
      </w:r>
      <w:r>
        <w:t xml:space="preserve">t de 6,70 </w:t>
      </w:r>
      <w:r w:rsidR="00FE0885">
        <w:t xml:space="preserve">% </w:t>
      </w:r>
      <w:r>
        <w:t xml:space="preserve">et le taux d'actualisation retenue sera de 7,20 </w:t>
      </w:r>
      <w:r w:rsidR="00FE0885">
        <w:t xml:space="preserve">% </w:t>
      </w:r>
      <w:r>
        <w:t>pour tenir compte d'un coefficient de revalorisation des loyers retenus par hypothèse à 0. 50 % l’an.</w:t>
      </w:r>
    </w:p>
    <w:p w14:paraId="4F27C2E2" w14:textId="77777777" w:rsidR="008C2BD3" w:rsidRDefault="008C2BD3" w:rsidP="008C2BD3">
      <w:pPr>
        <w:pStyle w:val="Sansinterligne"/>
        <w:jc w:val="both"/>
      </w:pPr>
    </w:p>
    <w:p w14:paraId="29741456" w14:textId="77777777" w:rsidR="008C2BD3" w:rsidRDefault="008C2BD3" w:rsidP="008C2BD3">
      <w:pPr>
        <w:pStyle w:val="Sansinterligne"/>
        <w:jc w:val="both"/>
      </w:pPr>
    </w:p>
    <w:p w14:paraId="653CEB6D" w14:textId="0331D85E" w:rsidR="008C2BD3" w:rsidRDefault="008C2BD3" w:rsidP="008C2BD3">
      <w:pPr>
        <w:pStyle w:val="Sansinterligne"/>
        <w:jc w:val="both"/>
      </w:pPr>
      <w:r w:rsidRPr="008C2BD3">
        <w:t>Maintenant que nous connaissons le rendement à retenir pour calculer les flux, que nous connaissons le taux d'actualisation, il reste à appliquer ces différents éléments à la situation et au projet de Monsieur Lapierre</w:t>
      </w:r>
      <w:r w:rsidR="0041457C">
        <w:t>.</w:t>
      </w:r>
    </w:p>
    <w:p w14:paraId="2A465302" w14:textId="3E7FA502" w:rsidR="001D452F" w:rsidRDefault="001D452F" w:rsidP="008C2BD3">
      <w:pPr>
        <w:pStyle w:val="Sansinterligne"/>
        <w:jc w:val="both"/>
      </w:pPr>
    </w:p>
    <w:p w14:paraId="41EA0F2C" w14:textId="4DCC8653" w:rsidR="001D452F" w:rsidRDefault="001D452F" w:rsidP="001D452F">
      <w:pPr>
        <w:pStyle w:val="Sansinterligne"/>
        <w:jc w:val="both"/>
      </w:pPr>
      <w:r w:rsidRPr="00B54454">
        <w:rPr>
          <w:b/>
          <w:color w:val="FF0000"/>
          <w:sz w:val="24"/>
        </w:rPr>
        <w:t>TABLEAU</w:t>
      </w:r>
      <w:r>
        <w:rPr>
          <w:b/>
          <w:color w:val="FF0000"/>
          <w:sz w:val="24"/>
        </w:rPr>
        <w:t xml:space="preserve"> 8</w:t>
      </w:r>
    </w:p>
    <w:p w14:paraId="6B0628F2" w14:textId="77777777" w:rsidR="00242617" w:rsidRDefault="00242617" w:rsidP="008C2BD3">
      <w:pPr>
        <w:pStyle w:val="Sansinterligne"/>
        <w:jc w:val="both"/>
      </w:pPr>
    </w:p>
    <w:p w14:paraId="665DCEBD" w14:textId="77777777" w:rsidR="00242617" w:rsidRDefault="00242617" w:rsidP="008C2BD3">
      <w:pPr>
        <w:pStyle w:val="Sansinterligne"/>
        <w:jc w:val="both"/>
      </w:pPr>
    </w:p>
    <w:p w14:paraId="37D1080B" w14:textId="6B02A3E5" w:rsidR="00242617" w:rsidRDefault="00242617" w:rsidP="008C2BD3">
      <w:pPr>
        <w:pStyle w:val="Sansinterligne"/>
        <w:jc w:val="both"/>
      </w:pPr>
      <w:r w:rsidRPr="00242617">
        <w:rPr>
          <w:noProof/>
          <w:lang w:eastAsia="fr-FR"/>
        </w:rPr>
        <w:drawing>
          <wp:inline distT="0" distB="0" distL="0" distR="0" wp14:anchorId="314C82D4" wp14:editId="4780A43B">
            <wp:extent cx="5760720" cy="139623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396234"/>
                    </a:xfrm>
                    <a:prstGeom prst="rect">
                      <a:avLst/>
                    </a:prstGeom>
                    <a:noFill/>
                    <a:ln>
                      <a:noFill/>
                    </a:ln>
                  </pic:spPr>
                </pic:pic>
              </a:graphicData>
            </a:graphic>
          </wp:inline>
        </w:drawing>
      </w:r>
    </w:p>
    <w:p w14:paraId="5F568A44" w14:textId="16033922" w:rsidR="00242617" w:rsidRDefault="00242617" w:rsidP="00242617"/>
    <w:p w14:paraId="14B38C72" w14:textId="398ADBB9" w:rsidR="00242617" w:rsidRDefault="00242617" w:rsidP="0013265B">
      <w:r w:rsidRPr="00242617">
        <w:t>Dans cette simulation, nous voyons précisément chacun des éléments ci-dessus évoqués et pouvons aussi déterminer l'avantage de la société d'ex</w:t>
      </w:r>
      <w:r w:rsidR="0041457C">
        <w:t>ploitation</w:t>
      </w:r>
      <w:r w:rsidRPr="00242617">
        <w:t xml:space="preserve"> à acquérir un usufruit à terme fixe pour une durée totale de 19 ans, moyennant un coût de 17 260 €, montant qui fera évidemment l'objet d'une </w:t>
      </w:r>
      <w:r w:rsidRPr="00242617">
        <w:lastRenderedPageBreak/>
        <w:t>inscription en immobilisations incorporelles et devra faire l'objet d'un amortissement sur la durée de l'usufruit consenti de 19 ans soit un montant de 908 € par an</w:t>
      </w:r>
      <w:r w:rsidR="0041457C">
        <w:t>.</w:t>
      </w:r>
    </w:p>
    <w:p w14:paraId="2EC4EA10" w14:textId="550DC432" w:rsidR="00885269" w:rsidRDefault="00885269" w:rsidP="00885269">
      <w:pPr>
        <w:pStyle w:val="Sansinterligne"/>
        <w:jc w:val="both"/>
        <w:rPr>
          <w:sz w:val="24"/>
          <w:lang w:eastAsia="fr-FR"/>
        </w:rPr>
      </w:pPr>
      <w:r w:rsidRPr="0032720A">
        <w:rPr>
          <w:b/>
          <w:sz w:val="24"/>
          <w:lang w:eastAsia="fr-FR"/>
        </w:rPr>
        <w:t xml:space="preserve">Quitte à être volontairement provocant, il me semble même que jamais les conditions d’application de cette stratégie n’ont été aussi utiles, aussi efficaces, et surtout aussi </w:t>
      </w:r>
      <w:r w:rsidR="00B01888" w:rsidRPr="0032720A">
        <w:rPr>
          <w:b/>
          <w:sz w:val="24"/>
          <w:lang w:eastAsia="fr-FR"/>
        </w:rPr>
        <w:t>sécurisées</w:t>
      </w:r>
      <w:r w:rsidR="00B01888">
        <w:rPr>
          <w:b/>
          <w:sz w:val="24"/>
          <w:lang w:eastAsia="fr-FR"/>
        </w:rPr>
        <w:t>.</w:t>
      </w:r>
    </w:p>
    <w:p w14:paraId="53543FDA" w14:textId="77777777" w:rsidR="00885269" w:rsidRDefault="00885269" w:rsidP="00885269">
      <w:pPr>
        <w:pStyle w:val="Sansinterligne"/>
        <w:jc w:val="both"/>
        <w:rPr>
          <w:sz w:val="24"/>
          <w:lang w:eastAsia="fr-FR"/>
        </w:rPr>
      </w:pPr>
      <w:bookmarkStart w:id="0" w:name="_GoBack"/>
      <w:bookmarkEnd w:id="0"/>
    </w:p>
    <w:p w14:paraId="62227871" w14:textId="77777777" w:rsidR="00885269" w:rsidRDefault="00885269" w:rsidP="00885269">
      <w:pPr>
        <w:pStyle w:val="Sansinterligne"/>
        <w:jc w:val="both"/>
        <w:rPr>
          <w:sz w:val="24"/>
          <w:lang w:eastAsia="fr-FR"/>
        </w:rPr>
      </w:pPr>
    </w:p>
    <w:p w14:paraId="0A78FB00" w14:textId="253DB4F5" w:rsidR="00885269" w:rsidRPr="00786F19" w:rsidRDefault="00885269" w:rsidP="00885269">
      <w:pPr>
        <w:pStyle w:val="Paragraphedeliste"/>
        <w:ind w:left="0"/>
        <w:jc w:val="both"/>
        <w:rPr>
          <w:b/>
          <w:color w:val="000000" w:themeColor="text1"/>
          <w:sz w:val="32"/>
          <w:szCs w:val="32"/>
          <w:lang w:eastAsia="fr-FR"/>
        </w:rPr>
      </w:pPr>
      <w:r w:rsidRPr="00786F19">
        <w:rPr>
          <w:b/>
          <w:color w:val="000000" w:themeColor="text1"/>
          <w:sz w:val="32"/>
          <w:szCs w:val="32"/>
          <w:lang w:eastAsia="fr-FR"/>
        </w:rPr>
        <w:t>La sécurité renforcée</w:t>
      </w:r>
    </w:p>
    <w:p w14:paraId="5E41E5FF" w14:textId="7CC831B3" w:rsidR="00885269" w:rsidRDefault="001E067B" w:rsidP="00885269">
      <w:pPr>
        <w:jc w:val="both"/>
        <w:rPr>
          <w:bCs/>
          <w:color w:val="000000" w:themeColor="text1"/>
          <w:sz w:val="24"/>
          <w:lang w:eastAsia="fr-FR"/>
        </w:rPr>
      </w:pPr>
      <w:r>
        <w:rPr>
          <w:bCs/>
          <w:color w:val="000000" w:themeColor="text1"/>
          <w:sz w:val="24"/>
          <w:lang w:eastAsia="fr-FR"/>
        </w:rPr>
        <w:t>J</w:t>
      </w:r>
      <w:r w:rsidR="00885269" w:rsidRPr="008057E3">
        <w:rPr>
          <w:bCs/>
          <w:color w:val="000000" w:themeColor="text1"/>
          <w:sz w:val="24"/>
          <w:lang w:eastAsia="fr-FR"/>
        </w:rPr>
        <w:t>e vous propose de visiter quelques arrêts récents de jurisprudence  qui vienne</w:t>
      </w:r>
      <w:r w:rsidR="00885269">
        <w:rPr>
          <w:bCs/>
          <w:color w:val="000000" w:themeColor="text1"/>
          <w:sz w:val="24"/>
          <w:lang w:eastAsia="fr-FR"/>
        </w:rPr>
        <w:t>nt</w:t>
      </w:r>
      <w:r w:rsidR="00885269" w:rsidRPr="008057E3">
        <w:rPr>
          <w:bCs/>
          <w:color w:val="000000" w:themeColor="text1"/>
          <w:sz w:val="24"/>
          <w:lang w:eastAsia="fr-FR"/>
        </w:rPr>
        <w:t xml:space="preserve"> confirmer les méthodes et techniques à employer afin que la stratégie de démembrement de l’immobilier d’entreprise se fasse dans des conditions de sécurité optimum.</w:t>
      </w:r>
    </w:p>
    <w:p w14:paraId="5E7F0AD0" w14:textId="77777777" w:rsidR="00885269" w:rsidRPr="00786F19" w:rsidRDefault="00885269" w:rsidP="00885269">
      <w:pPr>
        <w:pStyle w:val="Paragraphedeliste"/>
        <w:numPr>
          <w:ilvl w:val="0"/>
          <w:numId w:val="15"/>
        </w:numPr>
        <w:spacing w:after="160" w:line="256" w:lineRule="auto"/>
        <w:ind w:left="426"/>
        <w:jc w:val="both"/>
        <w:rPr>
          <w:b/>
          <w:bCs/>
          <w:sz w:val="24"/>
        </w:rPr>
      </w:pPr>
      <w:r w:rsidRPr="00786F19">
        <w:rPr>
          <w:b/>
          <w:bCs/>
          <w:sz w:val="24"/>
        </w:rPr>
        <w:t>Une visite jurisprudentielle</w:t>
      </w:r>
    </w:p>
    <w:p w14:paraId="75748687" w14:textId="31E0292A" w:rsidR="00885269" w:rsidRDefault="00885269" w:rsidP="00885269">
      <w:pPr>
        <w:jc w:val="both"/>
        <w:rPr>
          <w:sz w:val="24"/>
        </w:rPr>
      </w:pPr>
      <w:r>
        <w:rPr>
          <w:sz w:val="24"/>
        </w:rPr>
        <w:t>En remarque liminaire, le lecteur pourra facilement relever que, dans tous les arrêts commentés ci-après, l’administration fiscale n’a jamais mis en œuvre l’article L 64 du livre des procédures fiscales réprimant l’abus de droit.</w:t>
      </w:r>
      <w:r w:rsidR="00FE0885">
        <w:rPr>
          <w:sz w:val="24"/>
        </w:rPr>
        <w:t xml:space="preserve"> </w:t>
      </w:r>
      <w:r>
        <w:rPr>
          <w:sz w:val="24"/>
        </w:rPr>
        <w:t>Il est question de prix minoré, que ce soit pour le prix d’acquisition ou pour la base de l’enregistrement, ce prix minoré étant parfois la conséquence du choix d’un mauvais taux et parfois d’une divergence sur les bases à retenir pour calculer la valeur de l’usufruit temporaire des parts de sociétés civiles immobilières.</w:t>
      </w:r>
    </w:p>
    <w:p w14:paraId="1259D10C" w14:textId="77777777" w:rsidR="00885269" w:rsidRDefault="00885269" w:rsidP="00885269">
      <w:pPr>
        <w:jc w:val="both"/>
        <w:rPr>
          <w:sz w:val="24"/>
        </w:rPr>
      </w:pPr>
      <w:r>
        <w:rPr>
          <w:sz w:val="24"/>
        </w:rPr>
        <w:t>Sans vouloir être exagérément réducteur, la valeur de l’usufruit temporaire des parts de sociétés civiles immobilières soulève des problématiques de deux différentes natures :</w:t>
      </w:r>
    </w:p>
    <w:p w14:paraId="1AB57155" w14:textId="77777777" w:rsidR="00885269" w:rsidRDefault="00885269" w:rsidP="00885269">
      <w:pPr>
        <w:jc w:val="both"/>
        <w:rPr>
          <w:sz w:val="24"/>
        </w:rPr>
      </w:pPr>
      <w:r>
        <w:rPr>
          <w:sz w:val="24"/>
        </w:rPr>
        <w:t>•</w:t>
      </w:r>
      <w:r>
        <w:rPr>
          <w:sz w:val="24"/>
        </w:rPr>
        <w:tab/>
        <w:t>quelles sont les techniques à mettre en œuvre ?</w:t>
      </w:r>
    </w:p>
    <w:p w14:paraId="3DC997A8" w14:textId="77777777" w:rsidR="00885269" w:rsidRDefault="00885269" w:rsidP="00885269">
      <w:pPr>
        <w:jc w:val="both"/>
        <w:rPr>
          <w:sz w:val="24"/>
        </w:rPr>
      </w:pPr>
      <w:r>
        <w:rPr>
          <w:sz w:val="24"/>
        </w:rPr>
        <w:t>•</w:t>
      </w:r>
      <w:r>
        <w:rPr>
          <w:sz w:val="24"/>
        </w:rPr>
        <w:tab/>
        <w:t>Avec quelles variables et quelles hypothèses faut-il travailler ?</w:t>
      </w:r>
    </w:p>
    <w:p w14:paraId="79CBD055" w14:textId="77777777" w:rsidR="00885269" w:rsidRDefault="00885269" w:rsidP="00885269">
      <w:pPr>
        <w:jc w:val="both"/>
        <w:rPr>
          <w:sz w:val="24"/>
        </w:rPr>
      </w:pPr>
    </w:p>
    <w:p w14:paraId="1B0457F3" w14:textId="0B529C74" w:rsidR="00885269" w:rsidRDefault="00885269" w:rsidP="00885269">
      <w:pPr>
        <w:jc w:val="both"/>
        <w:rPr>
          <w:sz w:val="24"/>
        </w:rPr>
      </w:pPr>
      <w:r>
        <w:rPr>
          <w:sz w:val="24"/>
        </w:rPr>
        <w:t>L’arrêt désormais célèbre « L</w:t>
      </w:r>
      <w:r w:rsidR="00FE0885">
        <w:rPr>
          <w:sz w:val="24"/>
        </w:rPr>
        <w:t>uccotel</w:t>
      </w:r>
      <w:r>
        <w:rPr>
          <w:sz w:val="24"/>
        </w:rPr>
        <w:t> »</w:t>
      </w:r>
      <w:r w:rsidR="00FE0885">
        <w:rPr>
          <w:sz w:val="24"/>
        </w:rPr>
        <w:t xml:space="preserve"> (12)</w:t>
      </w:r>
      <w:r>
        <w:rPr>
          <w:rStyle w:val="Appelnotedebasdep"/>
          <w:sz w:val="24"/>
        </w:rPr>
        <w:footnoteReference w:id="13"/>
      </w:r>
      <w:r>
        <w:rPr>
          <w:sz w:val="24"/>
        </w:rPr>
        <w:t xml:space="preserve"> est venu apporter des réponses particulièrement claires sur la plupart de ces légitimes interrogations.</w:t>
      </w:r>
    </w:p>
    <w:p w14:paraId="1AAA8D83" w14:textId="2666251D" w:rsidR="00885269" w:rsidRPr="00D64FBE" w:rsidRDefault="00885269" w:rsidP="00885269">
      <w:pPr>
        <w:jc w:val="both"/>
        <w:rPr>
          <w:sz w:val="24"/>
        </w:rPr>
      </w:pPr>
      <w:r>
        <w:rPr>
          <w:sz w:val="24"/>
        </w:rPr>
        <w:t>Rappelons très rapidement que dans cette affaire, l’administration fiscale reproche à la société d’avoir cédé l’usufruit des titres à un prix minoré ce qui entraîne immanquablement une rectification chez le vendeur mais aussi chez l’acquéreur.</w:t>
      </w:r>
      <w:r w:rsidR="00FE0885">
        <w:rPr>
          <w:sz w:val="24"/>
        </w:rPr>
        <w:t xml:space="preserve"> </w:t>
      </w:r>
      <w:r>
        <w:rPr>
          <w:sz w:val="24"/>
        </w:rPr>
        <w:t>Dans les conclusions éclairées et éclairantes du rapporteur public</w:t>
      </w:r>
      <w:r w:rsidR="00FE0885">
        <w:rPr>
          <w:sz w:val="24"/>
        </w:rPr>
        <w:t xml:space="preserve"> (13)</w:t>
      </w:r>
      <w:r>
        <w:rPr>
          <w:rStyle w:val="Appelnotedebasdep"/>
          <w:sz w:val="24"/>
        </w:rPr>
        <w:footnoteReference w:id="14"/>
      </w:r>
      <w:r>
        <w:rPr>
          <w:sz w:val="24"/>
        </w:rPr>
        <w:t xml:space="preserve"> la question de la technique à mettre en œuvre est très vite abordée, car à défaut de comparable quasiment impossible à mettre en œuvre, la seule bonne méthode d’évaluation possible</w:t>
      </w:r>
      <w:r w:rsidR="00FE0885">
        <w:rPr>
          <w:sz w:val="24"/>
        </w:rPr>
        <w:t xml:space="preserve"> est celle des DCF (Discounted cash f</w:t>
      </w:r>
      <w:r>
        <w:rPr>
          <w:sz w:val="24"/>
        </w:rPr>
        <w:t xml:space="preserve">low), </w:t>
      </w:r>
      <w:r w:rsidRPr="00D64FBE">
        <w:rPr>
          <w:sz w:val="24"/>
        </w:rPr>
        <w:t>pour cela,</w:t>
      </w:r>
      <w:r>
        <w:rPr>
          <w:sz w:val="24"/>
        </w:rPr>
        <w:t xml:space="preserve"> le </w:t>
      </w:r>
      <w:r w:rsidRPr="00D64FBE">
        <w:rPr>
          <w:sz w:val="24"/>
        </w:rPr>
        <w:t>rapporteur propose une pédagogie qui consiste à :</w:t>
      </w:r>
    </w:p>
    <w:p w14:paraId="1C03926A" w14:textId="77777777" w:rsidR="00885269" w:rsidRPr="00D64FBE" w:rsidRDefault="00885269" w:rsidP="00885269">
      <w:pPr>
        <w:pStyle w:val="Paragraphedeliste"/>
        <w:numPr>
          <w:ilvl w:val="0"/>
          <w:numId w:val="14"/>
        </w:numPr>
        <w:spacing w:after="160" w:line="256" w:lineRule="auto"/>
        <w:jc w:val="both"/>
        <w:rPr>
          <w:sz w:val="24"/>
        </w:rPr>
      </w:pPr>
      <w:r w:rsidRPr="00D64FBE">
        <w:rPr>
          <w:sz w:val="24"/>
        </w:rPr>
        <w:t>établir un plan d’affaires (prévisionnel)</w:t>
      </w:r>
      <w:r>
        <w:rPr>
          <w:sz w:val="24"/>
        </w:rPr>
        <w:t>,</w:t>
      </w:r>
    </w:p>
    <w:p w14:paraId="5014AC59" w14:textId="77777777" w:rsidR="00885269" w:rsidRPr="00D64FBE" w:rsidRDefault="00885269" w:rsidP="00885269">
      <w:pPr>
        <w:pStyle w:val="Paragraphedeliste"/>
        <w:numPr>
          <w:ilvl w:val="0"/>
          <w:numId w:val="14"/>
        </w:numPr>
        <w:spacing w:after="160" w:line="256" w:lineRule="auto"/>
        <w:jc w:val="both"/>
        <w:rPr>
          <w:sz w:val="24"/>
        </w:rPr>
      </w:pPr>
      <w:r w:rsidRPr="00D64FBE">
        <w:rPr>
          <w:sz w:val="24"/>
        </w:rPr>
        <w:t>prévoir les flux de trésorerie disponible</w:t>
      </w:r>
      <w:r>
        <w:rPr>
          <w:sz w:val="24"/>
        </w:rPr>
        <w:t>,</w:t>
      </w:r>
    </w:p>
    <w:p w14:paraId="4424A2E1" w14:textId="77777777" w:rsidR="00885269" w:rsidRPr="00D64FBE" w:rsidRDefault="00885269" w:rsidP="00885269">
      <w:pPr>
        <w:pStyle w:val="Paragraphedeliste"/>
        <w:numPr>
          <w:ilvl w:val="0"/>
          <w:numId w:val="14"/>
        </w:numPr>
        <w:spacing w:after="160" w:line="256" w:lineRule="auto"/>
        <w:jc w:val="both"/>
        <w:rPr>
          <w:sz w:val="24"/>
        </w:rPr>
      </w:pPr>
      <w:r w:rsidRPr="00D64FBE">
        <w:rPr>
          <w:sz w:val="24"/>
        </w:rPr>
        <w:lastRenderedPageBreak/>
        <w:t>évaluer la valeur terminale de l’entreprise</w:t>
      </w:r>
      <w:r>
        <w:rPr>
          <w:sz w:val="24"/>
        </w:rPr>
        <w:t>,</w:t>
      </w:r>
    </w:p>
    <w:p w14:paraId="4C8975B1" w14:textId="77777777" w:rsidR="00885269" w:rsidRPr="00D64FBE" w:rsidRDefault="00885269" w:rsidP="00885269">
      <w:pPr>
        <w:pStyle w:val="Paragraphedeliste"/>
        <w:numPr>
          <w:ilvl w:val="0"/>
          <w:numId w:val="14"/>
        </w:numPr>
        <w:spacing w:after="160" w:line="256" w:lineRule="auto"/>
        <w:jc w:val="both"/>
        <w:rPr>
          <w:sz w:val="24"/>
        </w:rPr>
      </w:pPr>
      <w:r w:rsidRPr="00D64FBE">
        <w:rPr>
          <w:sz w:val="24"/>
        </w:rPr>
        <w:t>déterminer le taux d’actualisation des flux</w:t>
      </w:r>
      <w:r>
        <w:rPr>
          <w:sz w:val="24"/>
        </w:rPr>
        <w:t>,</w:t>
      </w:r>
    </w:p>
    <w:p w14:paraId="5074ECFA" w14:textId="77777777" w:rsidR="00885269" w:rsidRPr="00D64FBE" w:rsidRDefault="00885269" w:rsidP="00885269">
      <w:pPr>
        <w:pStyle w:val="Paragraphedeliste"/>
        <w:numPr>
          <w:ilvl w:val="0"/>
          <w:numId w:val="14"/>
        </w:numPr>
        <w:spacing w:after="160" w:line="256" w:lineRule="auto"/>
        <w:jc w:val="both"/>
        <w:rPr>
          <w:sz w:val="24"/>
        </w:rPr>
      </w:pPr>
      <w:r w:rsidRPr="00D64FBE">
        <w:rPr>
          <w:sz w:val="24"/>
        </w:rPr>
        <w:t>retrancher l’endettement net</w:t>
      </w:r>
      <w:r>
        <w:rPr>
          <w:sz w:val="24"/>
        </w:rPr>
        <w:t>.</w:t>
      </w:r>
    </w:p>
    <w:p w14:paraId="041A8565" w14:textId="69CA7C7C" w:rsidR="00885269" w:rsidRDefault="00885269" w:rsidP="00885269">
      <w:pPr>
        <w:jc w:val="both"/>
        <w:rPr>
          <w:sz w:val="24"/>
        </w:rPr>
      </w:pPr>
      <w:r>
        <w:rPr>
          <w:sz w:val="24"/>
        </w:rPr>
        <w:t>Concernant le premier point, et s’agissant d’un loyer, l’exercice d’établissement d’un prévisionnel n’est guère complexe.</w:t>
      </w:r>
      <w:r w:rsidR="00FE0885">
        <w:rPr>
          <w:sz w:val="24"/>
        </w:rPr>
        <w:t xml:space="preserve"> </w:t>
      </w:r>
      <w:r>
        <w:rPr>
          <w:sz w:val="24"/>
        </w:rPr>
        <w:t>Concernant les flux de trésorerie disponible le débat était largement plus ouvert.</w:t>
      </w:r>
      <w:r w:rsidR="00FE0885">
        <w:rPr>
          <w:sz w:val="24"/>
        </w:rPr>
        <w:t xml:space="preserve"> </w:t>
      </w:r>
      <w:r>
        <w:rPr>
          <w:sz w:val="24"/>
        </w:rPr>
        <w:t>L’usufruitier ne pouvant prétendre qu’aux dividendes régulièrement distribués, il a en conséquence le droit aux résultats effectivement distribués, non mis en réserves et dans la limite de la trésorerie disponible.</w:t>
      </w:r>
      <w:r w:rsidR="00FE0885">
        <w:rPr>
          <w:sz w:val="24"/>
        </w:rPr>
        <w:t xml:space="preserve"> </w:t>
      </w:r>
      <w:r>
        <w:rPr>
          <w:sz w:val="24"/>
        </w:rPr>
        <w:t>Il convient bien entendu d’en retrancher l’impôt théorique.</w:t>
      </w:r>
    </w:p>
    <w:p w14:paraId="07E953F4" w14:textId="0AA11C72" w:rsidR="00885269" w:rsidRDefault="00885269" w:rsidP="00885269">
      <w:pPr>
        <w:jc w:val="both"/>
        <w:rPr>
          <w:sz w:val="24"/>
        </w:rPr>
      </w:pPr>
      <w:r>
        <w:rPr>
          <w:sz w:val="24"/>
        </w:rPr>
        <w:t>Concernant la valeur terminale, et fort logiquement, le rapporteur public estime que s’agissant d’un terme très lointain il est inutile d’en tenir compte.</w:t>
      </w:r>
      <w:r w:rsidR="00FE0885">
        <w:rPr>
          <w:sz w:val="24"/>
        </w:rPr>
        <w:t xml:space="preserve"> </w:t>
      </w:r>
      <w:r>
        <w:rPr>
          <w:sz w:val="24"/>
        </w:rPr>
        <w:t>Le taux d’actualisation à retenir continue de susciter des avis divergents.</w:t>
      </w:r>
    </w:p>
    <w:p w14:paraId="0223734B" w14:textId="360439F3" w:rsidR="00885269" w:rsidRDefault="00885269" w:rsidP="00885269">
      <w:pPr>
        <w:jc w:val="both"/>
        <w:rPr>
          <w:sz w:val="24"/>
        </w:rPr>
      </w:pPr>
      <w:r>
        <w:rPr>
          <w:sz w:val="24"/>
        </w:rPr>
        <w:t xml:space="preserve"> Dans un premier temps, et malgré les conclusions du rapporteur public particulièrement étayées, la cour a admis le principe de la méthode DCF, la prise en compte d’un impôt théorique (33 %), calculé sur la base d’un revenu foncier net de charges locatives, mais :</w:t>
      </w:r>
    </w:p>
    <w:p w14:paraId="250AB836" w14:textId="77777777" w:rsidR="00885269" w:rsidRDefault="00885269" w:rsidP="00885269">
      <w:pPr>
        <w:jc w:val="both"/>
        <w:rPr>
          <w:sz w:val="24"/>
          <w:u w:val="single"/>
        </w:rPr>
      </w:pPr>
      <w:r w:rsidRPr="00683A66">
        <w:rPr>
          <w:sz w:val="24"/>
          <w:u w:val="single"/>
        </w:rPr>
        <w:t>Sans déduire la trésorerie affectée au remboursement de l’emprunt !</w:t>
      </w:r>
    </w:p>
    <w:p w14:paraId="2749B50B" w14:textId="77777777" w:rsidR="00885269" w:rsidRDefault="00885269" w:rsidP="00885269">
      <w:pPr>
        <w:jc w:val="both"/>
        <w:rPr>
          <w:sz w:val="24"/>
        </w:rPr>
      </w:pPr>
      <w:r w:rsidRPr="00683A66">
        <w:rPr>
          <w:sz w:val="24"/>
        </w:rPr>
        <w:t xml:space="preserve">Heureusement, le conseil d’État est venu mettre le bon ordre sur ce dernier point en précisant, une fois encore que : « </w:t>
      </w:r>
      <w:r w:rsidRPr="00AC7898">
        <w:rPr>
          <w:i/>
          <w:sz w:val="24"/>
        </w:rPr>
        <w:t>l’évaluation du revenu futur attendu par un usufruitier de parts sociales ne peut avoir pour objet que de déterminer le montant des distributions prévisionnelles</w:t>
      </w:r>
      <w:r w:rsidRPr="00683A66">
        <w:rPr>
          <w:sz w:val="24"/>
        </w:rPr>
        <w:t xml:space="preserve"> »</w:t>
      </w:r>
    </w:p>
    <w:p w14:paraId="57D1891B" w14:textId="77777777" w:rsidR="00FE0885" w:rsidRDefault="00885269" w:rsidP="00885269">
      <w:pPr>
        <w:jc w:val="both"/>
        <w:rPr>
          <w:sz w:val="24"/>
        </w:rPr>
      </w:pPr>
      <w:r>
        <w:rPr>
          <w:sz w:val="24"/>
        </w:rPr>
        <w:t>Reste maintenant le délicat problème du taux d’actualisation à retenir.</w:t>
      </w:r>
      <w:r w:rsidR="00FE0885">
        <w:rPr>
          <w:sz w:val="24"/>
        </w:rPr>
        <w:t xml:space="preserve"> </w:t>
      </w:r>
      <w:r>
        <w:rPr>
          <w:sz w:val="24"/>
        </w:rPr>
        <w:t>Le coût des capitaux propres, proposé par le rapporteur public de la cour d’appel de Nantes, n’est pas un choix pertinent. Dans cette situation, il faudrait retenir le même taux d’actualisation pour un immeuble dont le rendement est de 5 % et pour un immeuble dont le rendement est de 10 %. Ce n’est ni raisonnable, ni réaliste et encore moins juste.</w:t>
      </w:r>
      <w:r w:rsidR="00FE0885">
        <w:rPr>
          <w:sz w:val="24"/>
        </w:rPr>
        <w:t xml:space="preserve"> </w:t>
      </w:r>
    </w:p>
    <w:p w14:paraId="2B10385A" w14:textId="1F033021" w:rsidR="00885269" w:rsidRDefault="00885269" w:rsidP="00885269">
      <w:pPr>
        <w:jc w:val="both"/>
        <w:rPr>
          <w:sz w:val="24"/>
        </w:rPr>
      </w:pPr>
      <w:r>
        <w:rPr>
          <w:sz w:val="24"/>
        </w:rPr>
        <w:t>Un autre arrêt permet sans aucun doute d’entrevoir la solution.</w:t>
      </w:r>
      <w:r w:rsidR="00FE0885">
        <w:rPr>
          <w:sz w:val="24"/>
        </w:rPr>
        <w:t xml:space="preserve"> </w:t>
      </w:r>
      <w:r>
        <w:rPr>
          <w:sz w:val="24"/>
        </w:rPr>
        <w:t>Dans une décision du 24 octobre 2018</w:t>
      </w:r>
      <w:r w:rsidR="00FE0885">
        <w:rPr>
          <w:sz w:val="24"/>
        </w:rPr>
        <w:t xml:space="preserve"> (14)</w:t>
      </w:r>
      <w:r>
        <w:rPr>
          <w:rStyle w:val="Appelnotedebasdep"/>
          <w:sz w:val="24"/>
        </w:rPr>
        <w:footnoteReference w:id="15"/>
      </w:r>
      <w:r>
        <w:rPr>
          <w:sz w:val="24"/>
        </w:rPr>
        <w:t xml:space="preserve">, le conseil d’État, tout en reconnaissant le bien-fondé du choix du taux de rentabilité de l’immeuble indique, sans en donner la solution, que le choix du taux « </w:t>
      </w:r>
      <w:r w:rsidRPr="00AC7898">
        <w:rPr>
          <w:i/>
          <w:sz w:val="24"/>
        </w:rPr>
        <w:t>doit permettre un partage équitable de la valeur de la pleine propriété entre usufruitier et nu-propriétaire</w:t>
      </w:r>
      <w:r>
        <w:rPr>
          <w:sz w:val="24"/>
        </w:rPr>
        <w:t xml:space="preserve"> »</w:t>
      </w:r>
    </w:p>
    <w:p w14:paraId="284EA58B" w14:textId="77777777" w:rsidR="00885269" w:rsidRDefault="00885269" w:rsidP="00885269">
      <w:pPr>
        <w:jc w:val="both"/>
        <w:rPr>
          <w:sz w:val="24"/>
        </w:rPr>
      </w:pPr>
      <w:r>
        <w:rPr>
          <w:sz w:val="24"/>
        </w:rPr>
        <w:t>En quelque sorte, choisir seulement le taux de rendement du bien à la date du démembrement ne permet pas au nu-propriétaire de percevoir un partage équitable de l’augmentation de valeur nécessairement induit par l’indexation du loyer.</w:t>
      </w:r>
    </w:p>
    <w:p w14:paraId="46AC1890" w14:textId="6E17A822" w:rsidR="00885269" w:rsidRDefault="00885269" w:rsidP="00885269">
      <w:pPr>
        <w:jc w:val="both"/>
        <w:rPr>
          <w:sz w:val="24"/>
        </w:rPr>
      </w:pPr>
      <w:r>
        <w:rPr>
          <w:sz w:val="24"/>
        </w:rPr>
        <w:t>Dès lors, et ainsi que nous l’avons préconisé et démontré dans l’ouvrage précité</w:t>
      </w:r>
      <w:r w:rsidR="00FE0885">
        <w:rPr>
          <w:sz w:val="24"/>
        </w:rPr>
        <w:t xml:space="preserve"> (15) </w:t>
      </w:r>
      <w:r>
        <w:rPr>
          <w:rStyle w:val="Appelnotedebasdep"/>
          <w:sz w:val="24"/>
        </w:rPr>
        <w:footnoteReference w:id="16"/>
      </w:r>
      <w:r>
        <w:rPr>
          <w:sz w:val="24"/>
        </w:rPr>
        <w:t xml:space="preserve"> il convient de retenir comme taux d’actualisation, le taux de rendement du bien, augmenté du taux d’indexation du loyer.</w:t>
      </w:r>
      <w:r w:rsidR="00FE0885">
        <w:rPr>
          <w:sz w:val="24"/>
        </w:rPr>
        <w:t xml:space="preserve"> </w:t>
      </w:r>
      <w:r>
        <w:rPr>
          <w:sz w:val="24"/>
        </w:rPr>
        <w:t xml:space="preserve">Reste en fait à déterminer la durée du démembrement à retenir </w:t>
      </w:r>
      <w:r>
        <w:rPr>
          <w:sz w:val="24"/>
        </w:rPr>
        <w:lastRenderedPageBreak/>
        <w:t>et même les moins doués en calcul arithmétique pourront facilement deviner que la durée doit nécessairement excéder la durée de l’emprunt initial, mais surtout permettre à la société d’exploitation de faire un placement financier satisfaisant.</w:t>
      </w:r>
    </w:p>
    <w:p w14:paraId="0307D724" w14:textId="11AED280" w:rsidR="00885269" w:rsidRDefault="00885269" w:rsidP="00885269">
      <w:pPr>
        <w:jc w:val="both"/>
        <w:rPr>
          <w:sz w:val="24"/>
        </w:rPr>
      </w:pPr>
      <w:r>
        <w:rPr>
          <w:sz w:val="24"/>
        </w:rPr>
        <w:t>La meilleure des conclusions est de récapituler en quelques mots l’essentiel des développements ci-dessus destinés à sécuriser la technique du démembrement de l’immobilier d’entreprise.</w:t>
      </w:r>
      <w:r w:rsidR="00FE0885">
        <w:rPr>
          <w:sz w:val="24"/>
        </w:rPr>
        <w:t xml:space="preserve"> </w:t>
      </w:r>
      <w:r>
        <w:rPr>
          <w:sz w:val="24"/>
        </w:rPr>
        <w:t xml:space="preserve">Il n’est sans doute pas inutile de rappeler les multiples motifs conduisant le chef d’entreprise à acquérir l’immobilier d’entreprise, </w:t>
      </w:r>
      <w:r w:rsidRPr="00BC56A0">
        <w:rPr>
          <w:sz w:val="24"/>
          <w:u w:val="single"/>
        </w:rPr>
        <w:t>tout en le préservant des aléas de l’exploitation</w:t>
      </w:r>
      <w:r>
        <w:rPr>
          <w:sz w:val="24"/>
        </w:rPr>
        <w:t>.</w:t>
      </w:r>
    </w:p>
    <w:p w14:paraId="0471EE57" w14:textId="0852F078" w:rsidR="00885269" w:rsidRDefault="00885269" w:rsidP="00885269">
      <w:pPr>
        <w:jc w:val="both"/>
        <w:rPr>
          <w:sz w:val="24"/>
        </w:rPr>
      </w:pPr>
      <w:r>
        <w:rPr>
          <w:sz w:val="24"/>
        </w:rPr>
        <w:t>Il s’agit tout d’abord de pérenniser et de sécuriser les locaux de l’exploitation, il s’agit ensuite de se constituer un complément de retraite future, mais aussi et surtout de construire un patrimoine susceptible d’être transmis à ses enfants sans requérir de compétence pa</w:t>
      </w:r>
      <w:r w:rsidR="00FE0885">
        <w:rPr>
          <w:sz w:val="24"/>
        </w:rPr>
        <w:t xml:space="preserve">rticulière de chef d’entreprise. </w:t>
      </w:r>
      <w:r>
        <w:rPr>
          <w:sz w:val="24"/>
        </w:rPr>
        <w:t>Il fut un temps probablement incertain où l’on devinait assez facilement ce qu’il convenait de ne pas faire.</w:t>
      </w:r>
      <w:r w:rsidR="00FE0885">
        <w:rPr>
          <w:sz w:val="24"/>
        </w:rPr>
        <w:t xml:space="preserve"> </w:t>
      </w:r>
      <w:r>
        <w:rPr>
          <w:sz w:val="24"/>
        </w:rPr>
        <w:t xml:space="preserve">Aujourd’hui, nous savons précisément ce qu’il convient de faire ! Par exemple, </w:t>
      </w:r>
      <w:r w:rsidR="001E067B">
        <w:rPr>
          <w:sz w:val="24"/>
        </w:rPr>
        <w:t>lire d’urgence la troisième édition du livre sur cette stratégie.</w:t>
      </w:r>
    </w:p>
    <w:p w14:paraId="61497EEE" w14:textId="51C03FAA" w:rsidR="00885269" w:rsidRPr="00242617" w:rsidRDefault="00885269" w:rsidP="0013265B"/>
    <w:sectPr w:rsidR="00885269" w:rsidRPr="00242617" w:rsidSect="00C6113D">
      <w:headerReference w:type="default" r:id="rId13"/>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0304F" w14:textId="77777777" w:rsidR="001D3606" w:rsidRDefault="001D3606" w:rsidP="00AC2B5D">
      <w:pPr>
        <w:spacing w:after="0" w:line="240" w:lineRule="auto"/>
      </w:pPr>
      <w:r>
        <w:separator/>
      </w:r>
    </w:p>
  </w:endnote>
  <w:endnote w:type="continuationSeparator" w:id="0">
    <w:p w14:paraId="59A20A14" w14:textId="77777777" w:rsidR="001D3606" w:rsidRDefault="001D3606" w:rsidP="00AC2B5D">
      <w:pPr>
        <w:spacing w:after="0" w:line="240" w:lineRule="auto"/>
      </w:pPr>
      <w:r>
        <w:continuationSeparator/>
      </w:r>
    </w:p>
  </w:endnote>
  <w:endnote w:type="continuationNotice" w:id="1">
    <w:p w14:paraId="414E505C" w14:textId="77777777" w:rsidR="001D3606" w:rsidRDefault="001D3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09F" w:csb1="00000000"/>
  </w:font>
  <w:font w:name="Palatino LT Std">
    <w:panose1 w:val="00000000000000000000"/>
    <w:charset w:val="00"/>
    <w:family w:val="roman"/>
    <w:notTrueType/>
    <w:pitch w:val="variable"/>
    <w:sig w:usb0="800000AF" w:usb1="5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63429"/>
      <w:docPartObj>
        <w:docPartGallery w:val="Page Numbers (Bottom of Page)"/>
        <w:docPartUnique/>
      </w:docPartObj>
    </w:sdtPr>
    <w:sdtEndPr/>
    <w:sdtContent>
      <w:sdt>
        <w:sdtPr>
          <w:id w:val="860082579"/>
          <w:docPartObj>
            <w:docPartGallery w:val="Page Numbers (Top of Page)"/>
            <w:docPartUnique/>
          </w:docPartObj>
        </w:sdtPr>
        <w:sdtEndPr/>
        <w:sdtContent>
          <w:p w14:paraId="42DCA8A7" w14:textId="75CB7C6C" w:rsidR="00066E61" w:rsidRDefault="00066E6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B62A8">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B62A8">
              <w:rPr>
                <w:b/>
                <w:bCs/>
                <w:noProof/>
              </w:rPr>
              <w:t>11</w:t>
            </w:r>
            <w:r>
              <w:rPr>
                <w:b/>
                <w:bCs/>
                <w:sz w:val="24"/>
                <w:szCs w:val="24"/>
              </w:rPr>
              <w:fldChar w:fldCharType="end"/>
            </w:r>
          </w:p>
        </w:sdtContent>
      </w:sdt>
    </w:sdtContent>
  </w:sdt>
  <w:p w14:paraId="42DCA8A8" w14:textId="77777777" w:rsidR="00066E61" w:rsidRDefault="00066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99FD" w14:textId="77777777" w:rsidR="001D3606" w:rsidRDefault="001D3606" w:rsidP="00AC2B5D">
      <w:pPr>
        <w:spacing w:after="0" w:line="240" w:lineRule="auto"/>
      </w:pPr>
      <w:r>
        <w:separator/>
      </w:r>
    </w:p>
  </w:footnote>
  <w:footnote w:type="continuationSeparator" w:id="0">
    <w:p w14:paraId="2CBF5456" w14:textId="77777777" w:rsidR="001D3606" w:rsidRDefault="001D3606" w:rsidP="00AC2B5D">
      <w:pPr>
        <w:spacing w:after="0" w:line="240" w:lineRule="auto"/>
      </w:pPr>
      <w:r>
        <w:continuationSeparator/>
      </w:r>
    </w:p>
  </w:footnote>
  <w:footnote w:type="continuationNotice" w:id="1">
    <w:p w14:paraId="551C0FA5" w14:textId="77777777" w:rsidR="001D3606" w:rsidRDefault="001D3606">
      <w:pPr>
        <w:spacing w:after="0" w:line="240" w:lineRule="auto"/>
      </w:pPr>
    </w:p>
  </w:footnote>
  <w:footnote w:id="2">
    <w:p w14:paraId="42DCA8A9" w14:textId="43DBDDA6" w:rsidR="00066E61" w:rsidRDefault="00066E61" w:rsidP="00DD295E">
      <w:pPr>
        <w:pStyle w:val="Notedebasdepage"/>
        <w:numPr>
          <w:ilvl w:val="0"/>
          <w:numId w:val="16"/>
        </w:numPr>
      </w:pPr>
      <w:r>
        <w:rPr>
          <w:rStyle w:val="Appelnotedebasdep"/>
        </w:rPr>
        <w:footnoteRef/>
      </w:r>
      <w:r>
        <w:t xml:space="preserve"> C’est juste un constat, nous n'avons pas la place d'entamer ici un débat qui n'aurait pas lieu d'être dans cet article</w:t>
      </w:r>
    </w:p>
  </w:footnote>
  <w:footnote w:id="3">
    <w:p w14:paraId="42DCA8AA" w14:textId="77777777" w:rsidR="00066E61" w:rsidRDefault="00066E61">
      <w:pPr>
        <w:pStyle w:val="Notedebasdepage"/>
      </w:pPr>
      <w:r>
        <w:rPr>
          <w:rStyle w:val="Appelnotedebasdep"/>
        </w:rPr>
        <w:footnoteRef/>
      </w:r>
      <w:r>
        <w:t xml:space="preserve"> Je n'évoque évidemment pas la nouvelle possibilité de renoncer à l'option pour l'impôt sur les sociétés puisque cette renonciation ne peut s'exercer que dans les cinq ans, ce qui ne résout jamais le problème évoqué ici.</w:t>
      </w:r>
    </w:p>
  </w:footnote>
  <w:footnote w:id="4">
    <w:p w14:paraId="42DCA8AB" w14:textId="77777777" w:rsidR="00066E61" w:rsidRDefault="00066E61">
      <w:pPr>
        <w:pStyle w:val="Notedebasdepage"/>
      </w:pPr>
      <w:r>
        <w:rPr>
          <w:rStyle w:val="Appelnotedebasdep"/>
        </w:rPr>
        <w:footnoteRef/>
      </w:r>
      <w:r>
        <w:t xml:space="preserve"> Évidemment, il faut parier ici que la fiscalité restera identique pendant 20 ans, l'espoir fait vivre mais ce n'est sans doute pas une supposition raisonnable.</w:t>
      </w:r>
    </w:p>
  </w:footnote>
  <w:footnote w:id="5">
    <w:p w14:paraId="42DCA8AC" w14:textId="77777777" w:rsidR="00066E61" w:rsidRDefault="00066E61">
      <w:pPr>
        <w:pStyle w:val="Notedebasdepage"/>
      </w:pPr>
      <w:r>
        <w:rPr>
          <w:rStyle w:val="Appelnotedebasdep"/>
        </w:rPr>
        <w:footnoteRef/>
      </w:r>
      <w:r>
        <w:t xml:space="preserve"> En fait, je devrais dire plutôt oblige à utiliser les dispositions de l'article 238 bis K, car dans cette situation ce n'est pas une option mais une obligation !</w:t>
      </w:r>
    </w:p>
  </w:footnote>
  <w:footnote w:id="6">
    <w:p w14:paraId="42DCA8AD" w14:textId="77777777" w:rsidR="00066E61" w:rsidRDefault="00066E61">
      <w:pPr>
        <w:pStyle w:val="Notedebasdepage"/>
      </w:pPr>
      <w:r>
        <w:rPr>
          <w:rStyle w:val="Appelnotedebasdep"/>
        </w:rPr>
        <w:footnoteRef/>
      </w:r>
      <w:r>
        <w:t xml:space="preserve"> Cette disposition clairement exprimée par l'article 1133 du code général des impôts n'est pas une surprise puisque dans les faits il n'y a aucune mutation.</w:t>
      </w:r>
    </w:p>
  </w:footnote>
  <w:footnote w:id="7">
    <w:p w14:paraId="0093BEFC" w14:textId="58F4F773" w:rsidR="00066E61" w:rsidRDefault="00066E61">
      <w:pPr>
        <w:pStyle w:val="Notedebasdepage"/>
      </w:pPr>
      <w:r>
        <w:rPr>
          <w:rStyle w:val="Appelnotedebasdep"/>
        </w:rPr>
        <w:footnoteRef/>
      </w:r>
      <w:r>
        <w:t xml:space="preserve"> Discounted Cash-flow</w:t>
      </w:r>
    </w:p>
  </w:footnote>
  <w:footnote w:id="8">
    <w:p w14:paraId="47958FA5" w14:textId="0056B391" w:rsidR="00066E61" w:rsidRDefault="00066E61">
      <w:pPr>
        <w:pStyle w:val="Notedebasdepage"/>
      </w:pPr>
      <w:r>
        <w:rPr>
          <w:rStyle w:val="Appelnotedebasdep"/>
        </w:rPr>
        <w:footnoteRef/>
      </w:r>
      <w:r>
        <w:t xml:space="preserve"> </w:t>
      </w:r>
      <w:r w:rsidRPr="00320D50">
        <w:t>Largement inspiré d'un article que j'ai publié sur le réseau LINKEDIN</w:t>
      </w:r>
    </w:p>
  </w:footnote>
  <w:footnote w:id="9">
    <w:p w14:paraId="3D2F5F7E" w14:textId="77777777" w:rsidR="00066E61" w:rsidRDefault="00066E61" w:rsidP="00320D50">
      <w:pPr>
        <w:pStyle w:val="Notedebasdepage"/>
      </w:pPr>
      <w:r>
        <w:rPr>
          <w:rStyle w:val="Appelnotedebasdep"/>
        </w:rPr>
        <w:footnoteRef/>
      </w:r>
      <w:r>
        <w:t xml:space="preserve"> Renvoi en bas de page du guide de la DGI :</w:t>
      </w:r>
      <w:r w:rsidRPr="00B60104">
        <w:t xml:space="preserve"> </w:t>
      </w:r>
      <w:r>
        <w:t>46. Pour les S.C.I. non soumises à l’I.S., la déduction d’un impôt fictif permet de prendre en compte l’inégalité des situations.</w:t>
      </w:r>
    </w:p>
  </w:footnote>
  <w:footnote w:id="10">
    <w:p w14:paraId="4C4D24EB" w14:textId="7090AA1C" w:rsidR="00066E61" w:rsidRDefault="00066E61">
      <w:pPr>
        <w:pStyle w:val="Notedebasdepage"/>
      </w:pPr>
      <w:r>
        <w:rPr>
          <w:rStyle w:val="Appelnotedebasdep"/>
        </w:rPr>
        <w:footnoteRef/>
      </w:r>
      <w:r>
        <w:t xml:space="preserve"> </w:t>
      </w:r>
      <w:r w:rsidRPr="00CE2575">
        <w:t xml:space="preserve">Par exemple </w:t>
      </w:r>
      <w:r>
        <w:t xml:space="preserve">CAA Orléans, Mars 2019, N° 18/00536, </w:t>
      </w:r>
      <w:r w:rsidRPr="00CE2575">
        <w:t>sur la question du droit d'enregistrement lié à la célèbre affaire L</w:t>
      </w:r>
      <w:r w:rsidR="00FE0885">
        <w:t xml:space="preserve">uccotel </w:t>
      </w:r>
    </w:p>
  </w:footnote>
  <w:footnote w:id="11">
    <w:p w14:paraId="025035AF" w14:textId="2DC78314" w:rsidR="00066E61" w:rsidRDefault="00066E61">
      <w:pPr>
        <w:pStyle w:val="Notedebasdepage"/>
      </w:pPr>
      <w:r>
        <w:rPr>
          <w:rStyle w:val="Appelnotedebasdep"/>
        </w:rPr>
        <w:footnoteRef/>
      </w:r>
      <w:r>
        <w:t xml:space="preserve"> Affaire SCACAJ &amp; SACAJISME-CE </w:t>
      </w:r>
      <w:r w:rsidRPr="00CE2575">
        <w:t>24 octobre 2018, huitième et troisième chambre</w:t>
      </w:r>
      <w:r>
        <w:t>, N° 412322</w:t>
      </w:r>
    </w:p>
  </w:footnote>
  <w:footnote w:id="12">
    <w:p w14:paraId="2BA7639B" w14:textId="3F70994F" w:rsidR="0041457C" w:rsidRDefault="0041457C">
      <w:pPr>
        <w:pStyle w:val="Notedebasdepage"/>
      </w:pPr>
      <w:r>
        <w:rPr>
          <w:rStyle w:val="Appelnotedebasdep"/>
        </w:rPr>
        <w:footnoteRef/>
      </w:r>
      <w:r>
        <w:t xml:space="preserve"> N</w:t>
      </w:r>
      <w:r w:rsidRPr="008C2BD3">
        <w:t>otamment page 136 et suivants</w:t>
      </w:r>
    </w:p>
  </w:footnote>
  <w:footnote w:id="13">
    <w:p w14:paraId="427716FE" w14:textId="77777777" w:rsidR="00066E61" w:rsidRDefault="00066E61" w:rsidP="00885269">
      <w:pPr>
        <w:pStyle w:val="Notedebasdepage"/>
      </w:pPr>
      <w:r>
        <w:rPr>
          <w:rStyle w:val="Appelnotedebasdep"/>
        </w:rPr>
        <w:footnoteRef/>
      </w:r>
      <w:r>
        <w:t xml:space="preserve"> Tout d’abord, Arrêt CAA NANTES 15 février 2018 , puis CE 30 septembre 2019 -N°419855</w:t>
      </w:r>
    </w:p>
  </w:footnote>
  <w:footnote w:id="14">
    <w:p w14:paraId="6DB9E124" w14:textId="77777777" w:rsidR="00066E61" w:rsidRDefault="00066E61" w:rsidP="00885269">
      <w:pPr>
        <w:pStyle w:val="Notedebasdepage"/>
      </w:pPr>
      <w:r>
        <w:rPr>
          <w:rStyle w:val="Appelnotedebasdep"/>
        </w:rPr>
        <w:footnoteRef/>
      </w:r>
      <w:r>
        <w:t xml:space="preserve"> Il s’agit de Thurian JOUNO</w:t>
      </w:r>
    </w:p>
  </w:footnote>
  <w:footnote w:id="15">
    <w:p w14:paraId="0EFF1E3D" w14:textId="77777777" w:rsidR="00066E61" w:rsidRDefault="00066E61" w:rsidP="00885269">
      <w:pPr>
        <w:pStyle w:val="Notedebasdepage"/>
      </w:pPr>
      <w:r>
        <w:rPr>
          <w:rStyle w:val="Appelnotedebasdep"/>
        </w:rPr>
        <w:footnoteRef/>
      </w:r>
      <w:r>
        <w:t xml:space="preserve"> CE SCI SACAJ &amp; SACAJISME : 24 octobre 2018- N° 412322.</w:t>
      </w:r>
    </w:p>
  </w:footnote>
  <w:footnote w:id="16">
    <w:p w14:paraId="6C37BCE2" w14:textId="77777777" w:rsidR="00066E61" w:rsidRDefault="00066E61" w:rsidP="00885269">
      <w:pPr>
        <w:pStyle w:val="Notedebasdepage"/>
      </w:pPr>
      <w:r>
        <w:rPr>
          <w:rStyle w:val="Appelnotedebasdep"/>
        </w:rPr>
        <w:footnoteRef/>
      </w:r>
      <w:r>
        <w:t xml:space="preserve"> Voir renvoi N°5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D81D" w14:textId="77777777" w:rsidR="00066E61" w:rsidRDefault="00066E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F77"/>
    <w:multiLevelType w:val="hybridMultilevel"/>
    <w:tmpl w:val="C41A91D6"/>
    <w:lvl w:ilvl="0" w:tplc="988828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D0A6B"/>
    <w:multiLevelType w:val="hybridMultilevel"/>
    <w:tmpl w:val="DE2267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357C3"/>
    <w:multiLevelType w:val="hybridMultilevel"/>
    <w:tmpl w:val="04B60ECE"/>
    <w:lvl w:ilvl="0" w:tplc="60C4C26C">
      <w:start w:val="1"/>
      <w:numFmt w:val="upperLetter"/>
      <w:pStyle w:val="Titre2"/>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1F2F72AF"/>
    <w:multiLevelType w:val="hybridMultilevel"/>
    <w:tmpl w:val="F49CBAA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1194C6B"/>
    <w:multiLevelType w:val="hybridMultilevel"/>
    <w:tmpl w:val="3198DCE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40F578D"/>
    <w:multiLevelType w:val="hybridMultilevel"/>
    <w:tmpl w:val="7D46760C"/>
    <w:lvl w:ilvl="0" w:tplc="3762203C">
      <w:start w:val="1"/>
      <w:numFmt w:val="upperRoman"/>
      <w:pStyle w:val="Titre1"/>
      <w:lvlText w:val="%1."/>
      <w:lvlJc w:val="right"/>
      <w:pPr>
        <w:ind w:left="720" w:hanging="360"/>
      </w:pPr>
      <w:rPr>
        <w:color w:val="548DD4" w:themeColor="text2" w:themeTint="99"/>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AED54F1"/>
    <w:multiLevelType w:val="hybridMultilevel"/>
    <w:tmpl w:val="56902800"/>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D13408"/>
    <w:multiLevelType w:val="hybridMultilevel"/>
    <w:tmpl w:val="EF9A7D0A"/>
    <w:lvl w:ilvl="0" w:tplc="61849F44">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3025D95"/>
    <w:multiLevelType w:val="hybridMultilevel"/>
    <w:tmpl w:val="04E07308"/>
    <w:lvl w:ilvl="0" w:tplc="9676B9AE">
      <w:start w:val="1"/>
      <w:numFmt w:val="bullet"/>
      <w:lvlText w:val=""/>
      <w:lvlJc w:val="left"/>
      <w:pPr>
        <w:ind w:left="1287" w:hanging="360"/>
      </w:pPr>
      <w:rPr>
        <w:rFonts w:ascii="Wingdings" w:hAnsi="Wingdings" w:hint="default"/>
        <w:color w:val="548DD4" w:themeColor="text2" w:themeTint="99"/>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580E5145"/>
    <w:multiLevelType w:val="hybridMultilevel"/>
    <w:tmpl w:val="9DAC5D6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28F5B9F"/>
    <w:multiLevelType w:val="hybridMultilevel"/>
    <w:tmpl w:val="DBA4BC64"/>
    <w:lvl w:ilvl="0" w:tplc="E210449E">
      <w:start w:val="2"/>
      <w:numFmt w:val="bullet"/>
      <w:lvlText w:val="-"/>
      <w:lvlJc w:val="left"/>
      <w:pPr>
        <w:ind w:left="927" w:hanging="360"/>
      </w:pPr>
      <w:rPr>
        <w:rFonts w:ascii="Calibri" w:eastAsiaTheme="minorHAnsi" w:hAnsi="Calibri" w:cstheme="minorBid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1" w15:restartNumberingAfterBreak="0">
    <w:nsid w:val="64D20DD3"/>
    <w:multiLevelType w:val="hybridMultilevel"/>
    <w:tmpl w:val="37F0523A"/>
    <w:lvl w:ilvl="0" w:tplc="F104DD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253237"/>
    <w:multiLevelType w:val="hybridMultilevel"/>
    <w:tmpl w:val="FBDE0A2E"/>
    <w:lvl w:ilvl="0" w:tplc="5B46EE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F00640"/>
    <w:multiLevelType w:val="hybridMultilevel"/>
    <w:tmpl w:val="CD3E525A"/>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D737AC7"/>
    <w:multiLevelType w:val="hybridMultilevel"/>
    <w:tmpl w:val="E5523BA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10"/>
  </w:num>
  <w:num w:numId="4">
    <w:abstractNumId w:val="2"/>
  </w:num>
  <w:num w:numId="5">
    <w:abstractNumId w:val="2"/>
    <w:lvlOverride w:ilvl="0">
      <w:startOverride w:val="1"/>
    </w:lvlOverride>
  </w:num>
  <w:num w:numId="6">
    <w:abstractNumId w:val="9"/>
  </w:num>
  <w:num w:numId="7">
    <w:abstractNumId w:val="14"/>
  </w:num>
  <w:num w:numId="8">
    <w:abstractNumId w:val="4"/>
  </w:num>
  <w:num w:numId="9">
    <w:abstractNumId w:val="3"/>
  </w:num>
  <w:num w:numId="10">
    <w:abstractNumId w:val="6"/>
  </w:num>
  <w:num w:numId="11">
    <w:abstractNumId w:val="7"/>
  </w:num>
  <w:num w:numId="12">
    <w:abstractNumId w:val="1"/>
  </w:num>
  <w:num w:numId="13">
    <w:abstractNumId w:val="12"/>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A8428A-3D57-4860-961A-2CFD3F2759BC}"/>
    <w:docVar w:name="dgnword-eventsink" w:val="41522712"/>
    <w:docVar w:name="dgnword-lastRevisionsView" w:val="0"/>
  </w:docVars>
  <w:rsids>
    <w:rsidRoot w:val="000B3709"/>
    <w:rsid w:val="00066E61"/>
    <w:rsid w:val="000940DF"/>
    <w:rsid w:val="000B3709"/>
    <w:rsid w:val="000C0516"/>
    <w:rsid w:val="000E5E53"/>
    <w:rsid w:val="0013265B"/>
    <w:rsid w:val="00141754"/>
    <w:rsid w:val="00144A61"/>
    <w:rsid w:val="00190534"/>
    <w:rsid w:val="001D3606"/>
    <w:rsid w:val="001D452F"/>
    <w:rsid w:val="001E067B"/>
    <w:rsid w:val="001F7755"/>
    <w:rsid w:val="00205588"/>
    <w:rsid w:val="00237D7C"/>
    <w:rsid w:val="00242617"/>
    <w:rsid w:val="002429A2"/>
    <w:rsid w:val="002650DF"/>
    <w:rsid w:val="003140FB"/>
    <w:rsid w:val="00320D50"/>
    <w:rsid w:val="00346C0D"/>
    <w:rsid w:val="0036522D"/>
    <w:rsid w:val="00375E35"/>
    <w:rsid w:val="00383B88"/>
    <w:rsid w:val="00395343"/>
    <w:rsid w:val="0041457C"/>
    <w:rsid w:val="00435796"/>
    <w:rsid w:val="005061EA"/>
    <w:rsid w:val="005132DA"/>
    <w:rsid w:val="005545F2"/>
    <w:rsid w:val="0058600F"/>
    <w:rsid w:val="005B4596"/>
    <w:rsid w:val="005B7AD3"/>
    <w:rsid w:val="005C4B31"/>
    <w:rsid w:val="00607786"/>
    <w:rsid w:val="00634D10"/>
    <w:rsid w:val="00663042"/>
    <w:rsid w:val="00707D2D"/>
    <w:rsid w:val="007B62A8"/>
    <w:rsid w:val="007C4AC1"/>
    <w:rsid w:val="007E2BF4"/>
    <w:rsid w:val="007F4598"/>
    <w:rsid w:val="008311DA"/>
    <w:rsid w:val="00831945"/>
    <w:rsid w:val="0085002C"/>
    <w:rsid w:val="00872C2D"/>
    <w:rsid w:val="0088222C"/>
    <w:rsid w:val="00885269"/>
    <w:rsid w:val="008C2BD3"/>
    <w:rsid w:val="00961516"/>
    <w:rsid w:val="009714B1"/>
    <w:rsid w:val="009813F3"/>
    <w:rsid w:val="00A4307D"/>
    <w:rsid w:val="00A460D3"/>
    <w:rsid w:val="00A633A1"/>
    <w:rsid w:val="00A95C4B"/>
    <w:rsid w:val="00AC2B5D"/>
    <w:rsid w:val="00AD0692"/>
    <w:rsid w:val="00B01888"/>
    <w:rsid w:val="00B135B6"/>
    <w:rsid w:val="00B1613D"/>
    <w:rsid w:val="00B31C2B"/>
    <w:rsid w:val="00B356F4"/>
    <w:rsid w:val="00B54454"/>
    <w:rsid w:val="00C029EF"/>
    <w:rsid w:val="00C04D50"/>
    <w:rsid w:val="00C33625"/>
    <w:rsid w:val="00C6113D"/>
    <w:rsid w:val="00C62A18"/>
    <w:rsid w:val="00CB562C"/>
    <w:rsid w:val="00CD03BB"/>
    <w:rsid w:val="00CE2575"/>
    <w:rsid w:val="00CE2D0D"/>
    <w:rsid w:val="00D855C2"/>
    <w:rsid w:val="00DA5551"/>
    <w:rsid w:val="00DC15FC"/>
    <w:rsid w:val="00DD295E"/>
    <w:rsid w:val="00DD46FD"/>
    <w:rsid w:val="00E03853"/>
    <w:rsid w:val="00E224A4"/>
    <w:rsid w:val="00EE24EC"/>
    <w:rsid w:val="00EF0765"/>
    <w:rsid w:val="00EF19FA"/>
    <w:rsid w:val="00F35B34"/>
    <w:rsid w:val="00FC31A3"/>
    <w:rsid w:val="00FE0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A7AC"/>
  <w15:docId w15:val="{3C190879-4F13-47FC-9A5B-5E179905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633A1"/>
    <w:pPr>
      <w:keepNext/>
      <w:keepLines/>
      <w:numPr>
        <w:numId w:val="1"/>
      </w:numPr>
      <w:spacing w:before="480" w:after="0"/>
      <w:ind w:left="1418"/>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ansinterligne"/>
    <w:next w:val="Normal"/>
    <w:link w:val="Titre2Car"/>
    <w:uiPriority w:val="9"/>
    <w:unhideWhenUsed/>
    <w:qFormat/>
    <w:rsid w:val="00A633A1"/>
    <w:pPr>
      <w:numPr>
        <w:numId w:val="4"/>
      </w:numPr>
      <w:jc w:val="both"/>
      <w:outlineLvl w:val="1"/>
    </w:pPr>
    <w:rPr>
      <w:b/>
      <w:sz w:val="24"/>
    </w:rPr>
  </w:style>
  <w:style w:type="paragraph" w:styleId="Titre3">
    <w:name w:val="heading 3"/>
    <w:basedOn w:val="Sansinterligne"/>
    <w:next w:val="Normal"/>
    <w:link w:val="Titre3Car"/>
    <w:uiPriority w:val="9"/>
    <w:unhideWhenUsed/>
    <w:qFormat/>
    <w:rsid w:val="00A633A1"/>
    <w:pPr>
      <w:ind w:left="567"/>
      <w:jc w:val="both"/>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B3709"/>
    <w:pPr>
      <w:spacing w:after="0" w:line="240" w:lineRule="auto"/>
    </w:pPr>
  </w:style>
  <w:style w:type="paragraph" w:styleId="Textedebulles">
    <w:name w:val="Balloon Text"/>
    <w:basedOn w:val="Normal"/>
    <w:link w:val="TextedebullesCar"/>
    <w:uiPriority w:val="99"/>
    <w:semiHidden/>
    <w:unhideWhenUsed/>
    <w:rsid w:val="00144A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4A61"/>
    <w:rPr>
      <w:rFonts w:ascii="Tahoma" w:hAnsi="Tahoma" w:cs="Tahoma"/>
      <w:sz w:val="16"/>
      <w:szCs w:val="16"/>
    </w:rPr>
  </w:style>
  <w:style w:type="paragraph" w:styleId="Notedebasdepage">
    <w:name w:val="footnote text"/>
    <w:basedOn w:val="Normal"/>
    <w:link w:val="NotedebasdepageCar"/>
    <w:uiPriority w:val="99"/>
    <w:unhideWhenUsed/>
    <w:rsid w:val="00AC2B5D"/>
    <w:pPr>
      <w:spacing w:after="0" w:line="240" w:lineRule="auto"/>
    </w:pPr>
    <w:rPr>
      <w:sz w:val="20"/>
      <w:szCs w:val="20"/>
    </w:rPr>
  </w:style>
  <w:style w:type="character" w:customStyle="1" w:styleId="NotedebasdepageCar">
    <w:name w:val="Note de bas de page Car"/>
    <w:basedOn w:val="Policepardfaut"/>
    <w:link w:val="Notedebasdepage"/>
    <w:uiPriority w:val="99"/>
    <w:rsid w:val="00AC2B5D"/>
    <w:rPr>
      <w:sz w:val="20"/>
      <w:szCs w:val="20"/>
    </w:rPr>
  </w:style>
  <w:style w:type="character" w:styleId="Appelnotedebasdep">
    <w:name w:val="footnote reference"/>
    <w:basedOn w:val="Policepardfaut"/>
    <w:uiPriority w:val="99"/>
    <w:semiHidden/>
    <w:unhideWhenUsed/>
    <w:rsid w:val="00AC2B5D"/>
    <w:rPr>
      <w:vertAlign w:val="superscript"/>
    </w:rPr>
  </w:style>
  <w:style w:type="paragraph" w:styleId="En-tte">
    <w:name w:val="header"/>
    <w:basedOn w:val="Normal"/>
    <w:link w:val="En-tteCar"/>
    <w:uiPriority w:val="99"/>
    <w:unhideWhenUsed/>
    <w:rsid w:val="000940DF"/>
    <w:pPr>
      <w:tabs>
        <w:tab w:val="center" w:pos="4536"/>
        <w:tab w:val="right" w:pos="9072"/>
      </w:tabs>
      <w:spacing w:after="0" w:line="240" w:lineRule="auto"/>
    </w:pPr>
  </w:style>
  <w:style w:type="character" w:customStyle="1" w:styleId="En-tteCar">
    <w:name w:val="En-tête Car"/>
    <w:basedOn w:val="Policepardfaut"/>
    <w:link w:val="En-tte"/>
    <w:uiPriority w:val="99"/>
    <w:rsid w:val="000940DF"/>
  </w:style>
  <w:style w:type="paragraph" w:styleId="Pieddepage">
    <w:name w:val="footer"/>
    <w:basedOn w:val="Normal"/>
    <w:link w:val="PieddepageCar"/>
    <w:uiPriority w:val="99"/>
    <w:unhideWhenUsed/>
    <w:rsid w:val="000940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0DF"/>
  </w:style>
  <w:style w:type="character" w:customStyle="1" w:styleId="Titre1Car">
    <w:name w:val="Titre 1 Car"/>
    <w:basedOn w:val="Policepardfaut"/>
    <w:link w:val="Titre1"/>
    <w:uiPriority w:val="9"/>
    <w:rsid w:val="00A633A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633A1"/>
    <w:rPr>
      <w:b/>
      <w:sz w:val="24"/>
    </w:rPr>
  </w:style>
  <w:style w:type="character" w:customStyle="1" w:styleId="Titre3Car">
    <w:name w:val="Titre 3 Car"/>
    <w:basedOn w:val="Policepardfaut"/>
    <w:link w:val="Titre3"/>
    <w:uiPriority w:val="9"/>
    <w:rsid w:val="00A633A1"/>
    <w:rPr>
      <w:b/>
      <w:i/>
    </w:rPr>
  </w:style>
  <w:style w:type="paragraph" w:customStyle="1" w:styleId="CourantTexte">
    <w:name w:val="Courant — Texte"/>
    <w:basedOn w:val="Normal"/>
    <w:rsid w:val="00A633A1"/>
    <w:pPr>
      <w:widowControl w:val="0"/>
      <w:autoSpaceDE w:val="0"/>
      <w:autoSpaceDN w:val="0"/>
      <w:adjustRightInd w:val="0"/>
      <w:spacing w:before="113" w:after="0" w:line="260" w:lineRule="atLeast"/>
      <w:ind w:firstLine="170"/>
      <w:jc w:val="both"/>
      <w:textAlignment w:val="center"/>
    </w:pPr>
    <w:rPr>
      <w:rFonts w:ascii="Minion Pro" w:eastAsia="Times New Roman" w:hAnsi="Minion Pro" w:cs="Times New Roman"/>
      <w:color w:val="000000"/>
      <w:lang w:eastAsia="fr-FR"/>
    </w:rPr>
  </w:style>
  <w:style w:type="paragraph" w:customStyle="1" w:styleId="Courantnumrationpremire">
    <w:name w:val="Courant — Énumération première"/>
    <w:basedOn w:val="CourantTexte"/>
    <w:uiPriority w:val="99"/>
    <w:rsid w:val="00A633A1"/>
    <w:pPr>
      <w:spacing w:before="85"/>
      <w:ind w:left="340" w:hanging="170"/>
    </w:pPr>
  </w:style>
  <w:style w:type="paragraph" w:customStyle="1" w:styleId="Courantnumrationdernire">
    <w:name w:val="Courant — Énumération  dernière"/>
    <w:basedOn w:val="CourantTexte"/>
    <w:uiPriority w:val="99"/>
    <w:rsid w:val="00A633A1"/>
    <w:pPr>
      <w:spacing w:before="0" w:after="85"/>
      <w:ind w:left="340" w:hanging="170"/>
    </w:pPr>
  </w:style>
  <w:style w:type="paragraph" w:customStyle="1" w:styleId="CourantTitre1">
    <w:name w:val="Courant — Titre 1"/>
    <w:basedOn w:val="Normal"/>
    <w:uiPriority w:val="99"/>
    <w:rsid w:val="00A633A1"/>
    <w:pPr>
      <w:keepNext/>
      <w:keepLines/>
      <w:widowControl w:val="0"/>
      <w:tabs>
        <w:tab w:val="left" w:pos="510"/>
      </w:tabs>
      <w:suppressAutoHyphens/>
      <w:autoSpaceDE w:val="0"/>
      <w:autoSpaceDN w:val="0"/>
      <w:adjustRightInd w:val="0"/>
      <w:spacing w:before="510" w:after="227" w:line="320" w:lineRule="atLeast"/>
      <w:textAlignment w:val="center"/>
    </w:pPr>
    <w:rPr>
      <w:rFonts w:ascii="Palatino LT Std" w:eastAsia="Times New Roman" w:hAnsi="Palatino LT Std" w:cs="Times New Roman"/>
      <w:b/>
      <w:bCs/>
      <w:color w:val="000000"/>
      <w:sz w:val="26"/>
      <w:szCs w:val="26"/>
      <w:lang w:eastAsia="fr-FR"/>
    </w:rPr>
  </w:style>
  <w:style w:type="paragraph" w:customStyle="1" w:styleId="Courantnumration">
    <w:name w:val="Courant — Énumération"/>
    <w:basedOn w:val="CourantTexte"/>
    <w:uiPriority w:val="99"/>
    <w:rsid w:val="00A633A1"/>
    <w:pPr>
      <w:spacing w:before="0"/>
      <w:ind w:left="340" w:hanging="170"/>
    </w:pPr>
  </w:style>
  <w:style w:type="paragraph" w:customStyle="1" w:styleId="CourantTitre111">
    <w:name w:val="Courant — Titre 1.1.1"/>
    <w:basedOn w:val="Normal"/>
    <w:uiPriority w:val="99"/>
    <w:rsid w:val="00A633A1"/>
    <w:pPr>
      <w:keepNext/>
      <w:keepLines/>
      <w:widowControl w:val="0"/>
      <w:tabs>
        <w:tab w:val="left" w:pos="510"/>
      </w:tabs>
      <w:suppressAutoHyphens/>
      <w:autoSpaceDE w:val="0"/>
      <w:autoSpaceDN w:val="0"/>
      <w:adjustRightInd w:val="0"/>
      <w:spacing w:before="227" w:after="57" w:line="280" w:lineRule="atLeast"/>
      <w:textAlignment w:val="center"/>
    </w:pPr>
    <w:rPr>
      <w:rFonts w:ascii="Palatino LT Std" w:eastAsia="Times New Roman" w:hAnsi="Palatino LT Std" w:cs="Times New Roman"/>
      <w:b/>
      <w:bCs/>
      <w:i/>
      <w:iCs/>
      <w:color w:val="000000"/>
      <w:lang w:eastAsia="fr-FR"/>
    </w:rPr>
  </w:style>
  <w:style w:type="character" w:customStyle="1" w:styleId="SansinterligneCar">
    <w:name w:val="Sans interligne Car"/>
    <w:basedOn w:val="Policepardfaut"/>
    <w:link w:val="Sansinterligne"/>
    <w:uiPriority w:val="1"/>
    <w:rsid w:val="00A633A1"/>
  </w:style>
  <w:style w:type="paragraph" w:customStyle="1" w:styleId="Default">
    <w:name w:val="Default"/>
    <w:rsid w:val="00A633A1"/>
    <w:pPr>
      <w:autoSpaceDE w:val="0"/>
      <w:autoSpaceDN w:val="0"/>
      <w:adjustRightInd w:val="0"/>
      <w:spacing w:after="0" w:line="240" w:lineRule="auto"/>
    </w:pPr>
    <w:rPr>
      <w:rFonts w:ascii="Trebuchet MS" w:hAnsi="Trebuchet MS" w:cs="Trebuchet MS"/>
      <w:color w:val="000000"/>
      <w:sz w:val="24"/>
      <w:szCs w:val="24"/>
    </w:rPr>
  </w:style>
  <w:style w:type="paragraph" w:styleId="Paragraphedeliste">
    <w:name w:val="List Paragraph"/>
    <w:basedOn w:val="Normal"/>
    <w:uiPriority w:val="34"/>
    <w:qFormat/>
    <w:rsid w:val="00A633A1"/>
    <w:pPr>
      <w:ind w:left="720"/>
      <w:contextualSpacing/>
    </w:pPr>
  </w:style>
  <w:style w:type="paragraph" w:styleId="NormalWeb">
    <w:name w:val="Normal (Web)"/>
    <w:basedOn w:val="Normal"/>
    <w:uiPriority w:val="99"/>
    <w:semiHidden/>
    <w:unhideWhenUsed/>
    <w:rsid w:val="00A633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4512">
      <w:bodyDiv w:val="1"/>
      <w:marLeft w:val="0"/>
      <w:marRight w:val="0"/>
      <w:marTop w:val="0"/>
      <w:marBottom w:val="0"/>
      <w:divBdr>
        <w:top w:val="none" w:sz="0" w:space="0" w:color="auto"/>
        <w:left w:val="none" w:sz="0" w:space="0" w:color="auto"/>
        <w:bottom w:val="none" w:sz="0" w:space="0" w:color="auto"/>
        <w:right w:val="none" w:sz="0" w:space="0" w:color="auto"/>
      </w:divBdr>
    </w:div>
    <w:div w:id="696933074">
      <w:bodyDiv w:val="1"/>
      <w:marLeft w:val="0"/>
      <w:marRight w:val="0"/>
      <w:marTop w:val="0"/>
      <w:marBottom w:val="0"/>
      <w:divBdr>
        <w:top w:val="none" w:sz="0" w:space="0" w:color="auto"/>
        <w:left w:val="none" w:sz="0" w:space="0" w:color="auto"/>
        <w:bottom w:val="none" w:sz="0" w:space="0" w:color="auto"/>
        <w:right w:val="none" w:sz="0" w:space="0" w:color="auto"/>
      </w:divBdr>
    </w:div>
    <w:div w:id="977151854">
      <w:bodyDiv w:val="1"/>
      <w:marLeft w:val="0"/>
      <w:marRight w:val="0"/>
      <w:marTop w:val="0"/>
      <w:marBottom w:val="0"/>
      <w:divBdr>
        <w:top w:val="none" w:sz="0" w:space="0" w:color="auto"/>
        <w:left w:val="none" w:sz="0" w:space="0" w:color="auto"/>
        <w:bottom w:val="none" w:sz="0" w:space="0" w:color="auto"/>
        <w:right w:val="none" w:sz="0" w:space="0" w:color="auto"/>
      </w:divBdr>
    </w:div>
    <w:div w:id="1395929775">
      <w:bodyDiv w:val="1"/>
      <w:marLeft w:val="0"/>
      <w:marRight w:val="0"/>
      <w:marTop w:val="0"/>
      <w:marBottom w:val="0"/>
      <w:divBdr>
        <w:top w:val="none" w:sz="0" w:space="0" w:color="auto"/>
        <w:left w:val="none" w:sz="0" w:space="0" w:color="auto"/>
        <w:bottom w:val="none" w:sz="0" w:space="0" w:color="auto"/>
        <w:right w:val="none" w:sz="0" w:space="0" w:color="auto"/>
      </w:divBdr>
    </w:div>
    <w:div w:id="1423184760">
      <w:bodyDiv w:val="1"/>
      <w:marLeft w:val="0"/>
      <w:marRight w:val="0"/>
      <w:marTop w:val="0"/>
      <w:marBottom w:val="0"/>
      <w:divBdr>
        <w:top w:val="none" w:sz="0" w:space="0" w:color="auto"/>
        <w:left w:val="none" w:sz="0" w:space="0" w:color="auto"/>
        <w:bottom w:val="none" w:sz="0" w:space="0" w:color="auto"/>
        <w:right w:val="none" w:sz="0" w:space="0" w:color="auto"/>
      </w:divBdr>
    </w:div>
    <w:div w:id="1476683421">
      <w:bodyDiv w:val="1"/>
      <w:marLeft w:val="0"/>
      <w:marRight w:val="0"/>
      <w:marTop w:val="0"/>
      <w:marBottom w:val="0"/>
      <w:divBdr>
        <w:top w:val="none" w:sz="0" w:space="0" w:color="auto"/>
        <w:left w:val="none" w:sz="0" w:space="0" w:color="auto"/>
        <w:bottom w:val="none" w:sz="0" w:space="0" w:color="auto"/>
        <w:right w:val="none" w:sz="0" w:space="0" w:color="auto"/>
      </w:divBdr>
    </w:div>
    <w:div w:id="18004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C02E-34C1-4A85-A819-B1079436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3781</Words>
  <Characters>20418</Characters>
  <Application>Microsoft Office Word</Application>
  <DocSecurity>0</DocSecurity>
  <Lines>400</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sanouchian</dc:creator>
  <cp:lastModifiedBy>Jean-François TARDIVEAU</cp:lastModifiedBy>
  <cp:revision>2</cp:revision>
  <cp:lastPrinted>2019-12-23T09:03:00Z</cp:lastPrinted>
  <dcterms:created xsi:type="dcterms:W3CDTF">2019-12-23T10:05:00Z</dcterms:created>
  <dcterms:modified xsi:type="dcterms:W3CDTF">2019-12-23T10:05:00Z</dcterms:modified>
</cp:coreProperties>
</file>