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5A" w:rsidRPr="00DF74AB" w:rsidRDefault="00BF445A" w:rsidP="00BF445A">
      <w:pPr>
        <w:rPr>
          <w:b/>
          <w:sz w:val="32"/>
          <w:szCs w:val="32"/>
        </w:rPr>
      </w:pPr>
    </w:p>
    <w:p w:rsidR="00BF445A" w:rsidRPr="00DF74AB" w:rsidRDefault="00BF445A" w:rsidP="00BF445A">
      <w:pPr>
        <w:rPr>
          <w:b/>
          <w:sz w:val="24"/>
          <w:szCs w:val="24"/>
          <w:u w:val="single"/>
        </w:rPr>
      </w:pPr>
      <w:proofErr w:type="spellStart"/>
      <w:r w:rsidRPr="00DF74AB">
        <w:rPr>
          <w:b/>
          <w:sz w:val="24"/>
          <w:szCs w:val="24"/>
          <w:u w:val="single"/>
        </w:rPr>
        <w:t>CARACTERISTiQUES</w:t>
      </w:r>
      <w:proofErr w:type="spellEnd"/>
      <w:r w:rsidRPr="00DF74AB">
        <w:rPr>
          <w:b/>
          <w:sz w:val="24"/>
          <w:szCs w:val="24"/>
          <w:u w:val="single"/>
        </w:rPr>
        <w:t xml:space="preserve"> </w:t>
      </w:r>
    </w:p>
    <w:p w:rsidR="00BF445A" w:rsidRPr="00DF74AB" w:rsidRDefault="00BF445A" w:rsidP="00BF445A">
      <w:pPr>
        <w:rPr>
          <w:rFonts w:cs="EuroSans-Regular"/>
          <w:b/>
          <w:color w:val="404040"/>
          <w:sz w:val="24"/>
          <w:szCs w:val="24"/>
        </w:rPr>
      </w:pPr>
      <w:r w:rsidRPr="00DF74AB">
        <w:rPr>
          <w:b/>
          <w:sz w:val="24"/>
          <w:szCs w:val="24"/>
        </w:rPr>
        <w:t>Nom Isatis Capital Vie &amp; Retraite</w:t>
      </w:r>
      <w:r w:rsidRPr="00DF74AB">
        <w:rPr>
          <w:b/>
          <w:sz w:val="24"/>
          <w:szCs w:val="24"/>
        </w:rPr>
        <w:br/>
        <w:t>Nature : FCPR</w:t>
      </w:r>
      <w:r w:rsidRPr="00DF74AB">
        <w:rPr>
          <w:b/>
          <w:sz w:val="24"/>
          <w:szCs w:val="24"/>
        </w:rPr>
        <w:br/>
      </w:r>
      <w:r w:rsidRPr="00DF74AB">
        <w:rPr>
          <w:rFonts w:cs="Gotham-Black"/>
          <w:b/>
          <w:color w:val="404040"/>
          <w:sz w:val="24"/>
          <w:szCs w:val="24"/>
        </w:rPr>
        <w:t xml:space="preserve">Code ISIN : </w:t>
      </w:r>
      <w:r w:rsidRPr="00DF74AB">
        <w:rPr>
          <w:rFonts w:cs="Gotham-Book"/>
          <w:b/>
          <w:color w:val="404040"/>
          <w:sz w:val="24"/>
          <w:szCs w:val="24"/>
        </w:rPr>
        <w:t>FR0013222353</w:t>
      </w:r>
      <w:r w:rsidRPr="00DF74AB">
        <w:rPr>
          <w:b/>
          <w:sz w:val="24"/>
          <w:szCs w:val="24"/>
        </w:rPr>
        <w:br/>
      </w:r>
      <w:r w:rsidRPr="00DF74AB">
        <w:rPr>
          <w:rFonts w:cs="Gotham-Black"/>
          <w:b/>
          <w:color w:val="404040"/>
          <w:sz w:val="24"/>
          <w:szCs w:val="24"/>
        </w:rPr>
        <w:t xml:space="preserve">Valeur nominale : </w:t>
      </w:r>
      <w:r w:rsidRPr="00DF74AB">
        <w:rPr>
          <w:rFonts w:cs="Gotham-Book"/>
          <w:b/>
          <w:color w:val="404040"/>
          <w:sz w:val="24"/>
          <w:szCs w:val="24"/>
        </w:rPr>
        <w:t xml:space="preserve">100 </w:t>
      </w:r>
      <w:r w:rsidRPr="00DF74AB">
        <w:rPr>
          <w:rFonts w:cs="EuroSans-Regular"/>
          <w:b/>
          <w:color w:val="404040"/>
          <w:sz w:val="24"/>
          <w:szCs w:val="24"/>
        </w:rPr>
        <w:t>€</w:t>
      </w:r>
      <w:r w:rsidRPr="00DF74AB">
        <w:rPr>
          <w:b/>
          <w:sz w:val="24"/>
          <w:szCs w:val="24"/>
        </w:rPr>
        <w:br/>
      </w:r>
      <w:r w:rsidRPr="00DF74AB">
        <w:rPr>
          <w:rFonts w:cs="Gotham-Black"/>
          <w:b/>
          <w:color w:val="404040"/>
          <w:sz w:val="24"/>
          <w:szCs w:val="24"/>
        </w:rPr>
        <w:t xml:space="preserve">Souscription minimale : </w:t>
      </w:r>
      <w:r w:rsidRPr="00DF74AB">
        <w:rPr>
          <w:rFonts w:cs="Gotham-Book"/>
          <w:b/>
          <w:color w:val="404040"/>
          <w:sz w:val="24"/>
          <w:szCs w:val="24"/>
        </w:rPr>
        <w:t xml:space="preserve">1 000 </w:t>
      </w:r>
      <w:r w:rsidRPr="00DF74AB">
        <w:rPr>
          <w:rFonts w:cs="EuroSans-Regular"/>
          <w:b/>
          <w:color w:val="404040"/>
          <w:sz w:val="24"/>
          <w:szCs w:val="24"/>
        </w:rPr>
        <w:t>€</w:t>
      </w:r>
    </w:p>
    <w:p w:rsidR="00BF445A" w:rsidRPr="00DF74AB" w:rsidRDefault="00BF445A" w:rsidP="00BF445A">
      <w:pPr>
        <w:rPr>
          <w:b/>
          <w:sz w:val="24"/>
          <w:szCs w:val="24"/>
        </w:rPr>
      </w:pPr>
      <w:r w:rsidRPr="00DF74AB">
        <w:rPr>
          <w:rFonts w:cs="EuroSans-Regular"/>
          <w:b/>
          <w:color w:val="404040"/>
          <w:sz w:val="24"/>
          <w:szCs w:val="24"/>
        </w:rPr>
        <w:t xml:space="preserve">Contrats éligibles : </w:t>
      </w:r>
      <w:proofErr w:type="spellStart"/>
      <w:r w:rsidRPr="00DF74AB">
        <w:rPr>
          <w:sz w:val="24"/>
          <w:szCs w:val="24"/>
        </w:rPr>
        <w:t>Himalia</w:t>
      </w:r>
      <w:proofErr w:type="spellEnd"/>
      <w:r w:rsidRPr="00DF74AB">
        <w:rPr>
          <w:sz w:val="24"/>
          <w:szCs w:val="24"/>
        </w:rPr>
        <w:t xml:space="preserve">, </w:t>
      </w:r>
      <w:proofErr w:type="spellStart"/>
      <w:r w:rsidRPr="00DF74AB">
        <w:rPr>
          <w:sz w:val="24"/>
          <w:szCs w:val="24"/>
        </w:rPr>
        <w:t>Xaélidia</w:t>
      </w:r>
      <w:proofErr w:type="spellEnd"/>
      <w:r w:rsidRPr="00DF74AB">
        <w:rPr>
          <w:sz w:val="24"/>
          <w:szCs w:val="24"/>
        </w:rPr>
        <w:t xml:space="preserve"> et Octuor (distribués par les CGPI), Espace Invest 5 et Espace Horizon 8 (distribués par les banques privées et les banques régionales),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lack"/>
          <w:b/>
          <w:color w:val="404040"/>
          <w:sz w:val="24"/>
          <w:szCs w:val="24"/>
        </w:rPr>
        <w:t xml:space="preserve">Souscription : </w:t>
      </w:r>
      <w:r w:rsidRPr="00DF74AB">
        <w:rPr>
          <w:rFonts w:cs="Gotham-Book"/>
          <w:b/>
          <w:color w:val="404040"/>
          <w:sz w:val="24"/>
          <w:szCs w:val="24"/>
        </w:rPr>
        <w:t>les 14 et avant-dernier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proofErr w:type="gramStart"/>
      <w:r w:rsidRPr="00DF74AB">
        <w:rPr>
          <w:rFonts w:cs="Gotham-Book"/>
          <w:b/>
          <w:color w:val="404040"/>
          <w:sz w:val="24"/>
          <w:szCs w:val="24"/>
        </w:rPr>
        <w:t>jours</w:t>
      </w:r>
      <w:proofErr w:type="gramEnd"/>
      <w:r w:rsidRPr="00DF74AB">
        <w:rPr>
          <w:rFonts w:cs="Gotham-Book"/>
          <w:b/>
          <w:color w:val="404040"/>
          <w:sz w:val="24"/>
          <w:szCs w:val="24"/>
        </w:rPr>
        <w:t xml:space="preserve"> du mois avant 11 h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lack"/>
          <w:b/>
          <w:color w:val="404040"/>
          <w:sz w:val="24"/>
          <w:szCs w:val="24"/>
        </w:rPr>
      </w:pPr>
      <w:r w:rsidRPr="00DF74AB">
        <w:rPr>
          <w:rFonts w:cs="Gotham-Black"/>
          <w:b/>
          <w:color w:val="404040"/>
          <w:sz w:val="24"/>
          <w:szCs w:val="24"/>
        </w:rPr>
        <w:t>Publication de la Valeur liquidative :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J+2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lack"/>
          <w:b/>
          <w:color w:val="404040"/>
          <w:sz w:val="24"/>
          <w:szCs w:val="24"/>
        </w:rPr>
        <w:t xml:space="preserve">Rachat des parts : </w:t>
      </w:r>
      <w:r>
        <w:rPr>
          <w:rFonts w:cs="Gotham-Book"/>
          <w:b/>
          <w:color w:val="404040"/>
          <w:sz w:val="24"/>
          <w:szCs w:val="24"/>
        </w:rPr>
        <w:t xml:space="preserve">possible par </w:t>
      </w:r>
      <w:r w:rsidRPr="00DF74AB">
        <w:rPr>
          <w:rFonts w:cs="Gotham-Book"/>
          <w:b/>
          <w:color w:val="404040"/>
          <w:sz w:val="24"/>
          <w:szCs w:val="24"/>
        </w:rPr>
        <w:t>rac</w:t>
      </w:r>
      <w:r>
        <w:rPr>
          <w:rFonts w:cs="Gotham-Book"/>
          <w:b/>
          <w:color w:val="404040"/>
          <w:sz w:val="24"/>
          <w:szCs w:val="24"/>
        </w:rPr>
        <w:t xml:space="preserve">hat total ou partiel du contrat </w:t>
      </w:r>
      <w:r w:rsidRPr="00DF74AB">
        <w:rPr>
          <w:rFonts w:cs="Gotham-Book"/>
          <w:b/>
          <w:color w:val="404040"/>
          <w:sz w:val="24"/>
          <w:szCs w:val="24"/>
        </w:rPr>
        <w:t>d’assurance-vie</w:t>
      </w:r>
    </w:p>
    <w:p w:rsidR="00BF445A" w:rsidRDefault="00BF445A" w:rsidP="00BF445A">
      <w:pPr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lack"/>
          <w:b/>
          <w:color w:val="404040"/>
          <w:sz w:val="24"/>
          <w:szCs w:val="24"/>
        </w:rPr>
        <w:t xml:space="preserve">Règlement livraison : </w:t>
      </w:r>
      <w:r w:rsidRPr="00DF74AB">
        <w:rPr>
          <w:rFonts w:cs="Gotham-Book"/>
          <w:b/>
          <w:color w:val="404040"/>
          <w:sz w:val="24"/>
          <w:szCs w:val="24"/>
        </w:rPr>
        <w:t>J+3</w:t>
      </w:r>
    </w:p>
    <w:p w:rsidR="00BF445A" w:rsidRPr="00DF74AB" w:rsidRDefault="00BF445A" w:rsidP="00BF445A">
      <w:pPr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D</w:t>
      </w:r>
      <w:r w:rsidRPr="00DF74AB">
        <w:rPr>
          <w:b/>
          <w:sz w:val="24"/>
          <w:szCs w:val="24"/>
        </w:rPr>
        <w:t xml:space="preserve">emande de rachat prolongeable 12 mois maximum à compter de la date de la demande </w:t>
      </w:r>
    </w:p>
    <w:p w:rsidR="00BF445A" w:rsidRPr="00DF74AB" w:rsidRDefault="00BF445A" w:rsidP="00BF445A">
      <w:pPr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 xml:space="preserve">Frais : 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ld"/>
          <w:b/>
          <w:bCs/>
          <w:color w:val="404040"/>
          <w:sz w:val="24"/>
          <w:szCs w:val="24"/>
        </w:rPr>
      </w:pPr>
      <w:r w:rsidRPr="00DF74AB">
        <w:rPr>
          <w:rFonts w:cs="Gotham-Bold"/>
          <w:b/>
          <w:bCs/>
          <w:color w:val="404040"/>
          <w:sz w:val="24"/>
          <w:szCs w:val="24"/>
        </w:rPr>
        <w:t xml:space="preserve">Catégorie agrégée de frais                                            Taux maximaux de frais annuels moyens 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Gotham-Bold"/>
          <w:b/>
          <w:bCs/>
          <w:color w:val="404040"/>
          <w:sz w:val="24"/>
          <w:szCs w:val="24"/>
        </w:rPr>
      </w:pPr>
      <w:r w:rsidRPr="00DF74AB">
        <w:rPr>
          <w:rFonts w:cs="Gotham-Bold"/>
          <w:b/>
          <w:bCs/>
          <w:color w:val="404040"/>
          <w:sz w:val="24"/>
          <w:szCs w:val="24"/>
        </w:rPr>
        <w:t xml:space="preserve">(TFAM maximum) </w:t>
      </w:r>
      <w:r w:rsidRPr="00DF74AB">
        <w:rPr>
          <w:rFonts w:cs="Gotham-Bold"/>
          <w:b/>
          <w:bCs/>
          <w:color w:val="404040"/>
          <w:sz w:val="24"/>
          <w:szCs w:val="24"/>
        </w:rPr>
        <w:tab/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otham-Bold"/>
          <w:b/>
          <w:bCs/>
          <w:color w:val="404040"/>
          <w:sz w:val="24"/>
          <w:szCs w:val="24"/>
        </w:rPr>
      </w:pP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otham-Bold"/>
          <w:b/>
          <w:bCs/>
          <w:color w:val="404040"/>
          <w:sz w:val="24"/>
          <w:szCs w:val="24"/>
        </w:rPr>
      </w:pPr>
      <w:r w:rsidRPr="00DF74AB">
        <w:rPr>
          <w:rFonts w:cs="Gotham-Bold"/>
          <w:b/>
          <w:bCs/>
          <w:color w:val="404040"/>
          <w:sz w:val="24"/>
          <w:szCs w:val="24"/>
        </w:rPr>
        <w:t>TFAM gestionnaire et distributeur maximum/ Dont TFAM distributeur maximum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otham-Bold"/>
          <w:b/>
          <w:bCs/>
          <w:color w:val="404040"/>
          <w:sz w:val="24"/>
          <w:szCs w:val="24"/>
        </w:rPr>
      </w:pP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otham-Bold"/>
          <w:b/>
          <w:bCs/>
          <w:color w:val="404040"/>
          <w:sz w:val="24"/>
          <w:szCs w:val="24"/>
        </w:rPr>
      </w:pP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Droits d’entrée et de sortie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 xml:space="preserve"> 0,30 % 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>0,30 %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Frais récurrents de gestion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proofErr w:type="gramStart"/>
      <w:r w:rsidRPr="00DF74AB">
        <w:rPr>
          <w:rFonts w:cs="Gotham-Book"/>
          <w:b/>
          <w:color w:val="404040"/>
          <w:sz w:val="24"/>
          <w:szCs w:val="24"/>
        </w:rPr>
        <w:t>et</w:t>
      </w:r>
      <w:proofErr w:type="gramEnd"/>
      <w:r w:rsidRPr="00DF74AB">
        <w:rPr>
          <w:rFonts w:cs="Gotham-Book"/>
          <w:b/>
          <w:color w:val="404040"/>
          <w:sz w:val="24"/>
          <w:szCs w:val="24"/>
        </w:rPr>
        <w:t xml:space="preserve"> de fonctionnement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>2,75 %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 xml:space="preserve"> </w:t>
      </w:r>
      <w:r w:rsidRPr="00DF74AB">
        <w:rPr>
          <w:rFonts w:cs="Gotham-Book"/>
          <w:b/>
          <w:color w:val="404040"/>
          <w:sz w:val="24"/>
          <w:szCs w:val="24"/>
        </w:rPr>
        <w:tab/>
        <w:t>1,25 %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 xml:space="preserve">Frais de constitution 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>
        <w:rPr>
          <w:rFonts w:cs="Gotham-Book"/>
          <w:b/>
          <w:color w:val="404040"/>
          <w:sz w:val="24"/>
          <w:szCs w:val="24"/>
        </w:rPr>
        <w:t xml:space="preserve">            </w:t>
      </w:r>
      <w:r w:rsidRPr="00DF74AB">
        <w:rPr>
          <w:rFonts w:cs="Gotham-Book"/>
          <w:b/>
          <w:color w:val="404040"/>
          <w:sz w:val="24"/>
          <w:szCs w:val="24"/>
        </w:rPr>
        <w:t xml:space="preserve">0,02 % 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>–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Frais de fonctionnement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proofErr w:type="gramStart"/>
      <w:r w:rsidRPr="00DF74AB">
        <w:rPr>
          <w:rFonts w:cs="Gotham-Book"/>
          <w:b/>
          <w:color w:val="404040"/>
          <w:sz w:val="24"/>
          <w:szCs w:val="24"/>
        </w:rPr>
        <w:t>non-récurrents</w:t>
      </w:r>
      <w:proofErr w:type="gramEnd"/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>0,30 %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 xml:space="preserve"> –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cs="Gotham-Book"/>
          <w:b/>
          <w:color w:val="404040"/>
          <w:sz w:val="24"/>
          <w:szCs w:val="24"/>
        </w:rPr>
      </w:pPr>
      <w:r w:rsidRPr="00DF74AB">
        <w:rPr>
          <w:rFonts w:cs="Gotham-Book"/>
          <w:b/>
          <w:color w:val="404040"/>
          <w:sz w:val="24"/>
          <w:szCs w:val="24"/>
        </w:rPr>
        <w:t>Frais de gestion indirects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 xml:space="preserve"> 0,35 %</w:t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</w:r>
      <w:r w:rsidRPr="00DF74AB">
        <w:rPr>
          <w:rFonts w:cs="Gotham-Book"/>
          <w:b/>
          <w:color w:val="404040"/>
          <w:sz w:val="24"/>
          <w:szCs w:val="24"/>
        </w:rPr>
        <w:tab/>
        <w:t xml:space="preserve"> –</w:t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404040"/>
          <w:sz w:val="24"/>
          <w:szCs w:val="24"/>
        </w:rPr>
      </w:pP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>TOTAL</w:t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  <w:r w:rsidRPr="00DF74AB">
        <w:rPr>
          <w:rFonts w:ascii="HelveticaNeueLTStd-BdCn" w:hAnsi="HelveticaNeueLTStd-BdCn" w:cs="HelveticaNeueLTStd-BdCn"/>
          <w:color w:val="FFFFFF"/>
          <w:sz w:val="24"/>
          <w:szCs w:val="24"/>
        </w:rPr>
        <w:tab/>
      </w:r>
    </w:p>
    <w:p w:rsidR="00BF445A" w:rsidRPr="00DF74AB" w:rsidRDefault="00BF445A" w:rsidP="00BF445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Gotham-Book" w:hAnsi="Gotham-Book" w:cs="Gotham-Book"/>
          <w:color w:val="404040"/>
          <w:sz w:val="24"/>
          <w:szCs w:val="24"/>
        </w:rPr>
      </w:pPr>
      <w:r>
        <w:rPr>
          <w:rFonts w:ascii="Gotham-Bold" w:hAnsi="Gotham-Bold" w:cs="Gotham-Bold"/>
          <w:b/>
          <w:bCs/>
          <w:color w:val="404040"/>
          <w:sz w:val="24"/>
          <w:szCs w:val="24"/>
        </w:rPr>
        <w:t xml:space="preserve">                   </w:t>
      </w:r>
      <w:r w:rsidRPr="00DF74AB">
        <w:rPr>
          <w:rFonts w:ascii="Gotham-Bold" w:hAnsi="Gotham-Bold" w:cs="Gotham-Bold"/>
          <w:b/>
          <w:bCs/>
          <w:color w:val="404040"/>
          <w:sz w:val="24"/>
          <w:szCs w:val="24"/>
        </w:rPr>
        <w:t xml:space="preserve"> </w:t>
      </w:r>
      <w:r>
        <w:rPr>
          <w:rFonts w:ascii="Gotham-Bold" w:hAnsi="Gotham-Bold" w:cs="Gotham-Bold"/>
          <w:b/>
          <w:bCs/>
          <w:color w:val="404040"/>
          <w:sz w:val="24"/>
          <w:szCs w:val="24"/>
        </w:rPr>
        <w:tab/>
      </w:r>
      <w:r>
        <w:rPr>
          <w:rFonts w:ascii="Gotham-Bold" w:hAnsi="Gotham-Bold" w:cs="Gotham-Bold"/>
          <w:b/>
          <w:bCs/>
          <w:color w:val="404040"/>
          <w:sz w:val="24"/>
          <w:szCs w:val="24"/>
        </w:rPr>
        <w:tab/>
      </w:r>
      <w:r>
        <w:rPr>
          <w:rFonts w:ascii="Gotham-Bold" w:hAnsi="Gotham-Bold" w:cs="Gotham-Bold"/>
          <w:b/>
          <w:bCs/>
          <w:color w:val="404040"/>
          <w:sz w:val="24"/>
          <w:szCs w:val="24"/>
        </w:rPr>
        <w:tab/>
      </w:r>
      <w:r>
        <w:rPr>
          <w:rFonts w:ascii="Gotham-Bold" w:hAnsi="Gotham-Bold" w:cs="Gotham-Bold"/>
          <w:b/>
          <w:bCs/>
          <w:color w:val="404040"/>
          <w:sz w:val="24"/>
          <w:szCs w:val="24"/>
        </w:rPr>
        <w:tab/>
      </w:r>
      <w:r w:rsidRPr="00DF74AB">
        <w:rPr>
          <w:rFonts w:ascii="Gotham-Bold" w:hAnsi="Gotham-Bold" w:cs="Gotham-Bold"/>
          <w:b/>
          <w:bCs/>
          <w:color w:val="404040"/>
          <w:sz w:val="24"/>
          <w:szCs w:val="24"/>
        </w:rPr>
        <w:t xml:space="preserve">3,72 % </w:t>
      </w:r>
      <w:r w:rsidRPr="00DF74AB">
        <w:rPr>
          <w:rFonts w:ascii="Gotham-Book" w:hAnsi="Gotham-Book" w:cs="Gotham-Book"/>
          <w:color w:val="404040"/>
          <w:sz w:val="24"/>
          <w:szCs w:val="24"/>
        </w:rPr>
        <w:t xml:space="preserve">= valeur </w:t>
      </w:r>
      <w:r>
        <w:rPr>
          <w:rFonts w:ascii="Gotham-Book" w:hAnsi="Gotham-Book" w:cs="Gotham-Book"/>
          <w:color w:val="404040"/>
          <w:sz w:val="24"/>
          <w:szCs w:val="24"/>
        </w:rPr>
        <w:t xml:space="preserve">du TMFAM-GD max </w:t>
      </w:r>
      <w:r w:rsidRPr="00DF74AB"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>
        <w:rPr>
          <w:rFonts w:ascii="Gotham-Book" w:hAnsi="Gotham-Book" w:cs="Gotham-Book"/>
          <w:color w:val="404040"/>
          <w:sz w:val="24"/>
          <w:szCs w:val="24"/>
        </w:rPr>
        <w:tab/>
      </w:r>
      <w:r w:rsidRPr="00DF74AB">
        <w:rPr>
          <w:rFonts w:ascii="Gotham-Bold" w:hAnsi="Gotham-Bold" w:cs="Gotham-Bold"/>
          <w:b/>
          <w:bCs/>
          <w:color w:val="404040"/>
          <w:sz w:val="24"/>
          <w:szCs w:val="24"/>
        </w:rPr>
        <w:t xml:space="preserve">1,55 % </w:t>
      </w:r>
      <w:r>
        <w:rPr>
          <w:rFonts w:ascii="Gotham-Book" w:hAnsi="Gotham-Book" w:cs="Gotham-Book"/>
          <w:color w:val="404040"/>
          <w:sz w:val="24"/>
          <w:szCs w:val="24"/>
        </w:rPr>
        <w:t xml:space="preserve">= valeur </w:t>
      </w:r>
      <w:r w:rsidRPr="00DF74AB">
        <w:rPr>
          <w:rFonts w:ascii="Gotham-Book" w:hAnsi="Gotham-Book" w:cs="Gotham-Book"/>
          <w:color w:val="404040"/>
          <w:sz w:val="24"/>
          <w:szCs w:val="24"/>
        </w:rPr>
        <w:t xml:space="preserve">du </w:t>
      </w:r>
      <w:r>
        <w:rPr>
          <w:rFonts w:ascii="Gotham-Book" w:hAnsi="Gotham-Book" w:cs="Gotham-Book"/>
          <w:color w:val="404040"/>
          <w:sz w:val="24"/>
          <w:szCs w:val="24"/>
        </w:rPr>
        <w:t>TMFAM-D max</w:t>
      </w:r>
    </w:p>
    <w:p w:rsidR="00BB7571" w:rsidRPr="00BF445A" w:rsidRDefault="00BB7571" w:rsidP="00BF445A">
      <w:bookmarkStart w:id="0" w:name="_GoBack"/>
      <w:bookmarkEnd w:id="0"/>
    </w:p>
    <w:sectPr w:rsidR="00BB7571" w:rsidRPr="00BF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5A"/>
    <w:rsid w:val="00330328"/>
    <w:rsid w:val="00BB7571"/>
    <w:rsid w:val="00B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9215-F311-4111-ABAA-C296FC00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TARDIVEAU</dc:creator>
  <cp:keywords/>
  <dc:description/>
  <cp:lastModifiedBy>Jean-François TARDIVEAU</cp:lastModifiedBy>
  <cp:revision>1</cp:revision>
  <dcterms:created xsi:type="dcterms:W3CDTF">2017-05-15T15:49:00Z</dcterms:created>
  <dcterms:modified xsi:type="dcterms:W3CDTF">2017-05-15T15:49:00Z</dcterms:modified>
</cp:coreProperties>
</file>