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5FA0" w14:textId="399D3B2D" w:rsidR="009E2D33" w:rsidRPr="002C150A" w:rsidRDefault="00372B4A" w:rsidP="002C150A">
      <w:pPr>
        <w:pStyle w:val="Titre2"/>
        <w:jc w:val="center"/>
        <w:rPr>
          <w:b/>
          <w:sz w:val="28"/>
          <w:szCs w:val="28"/>
          <w:u w:val="single"/>
        </w:rPr>
      </w:pPr>
      <w:bookmarkStart w:id="0" w:name="_GoBack"/>
      <w:bookmarkEnd w:id="0"/>
      <w:r>
        <w:rPr>
          <w:b/>
          <w:sz w:val="28"/>
          <w:szCs w:val="28"/>
          <w:u w:val="single"/>
        </w:rPr>
        <w:t>L</w:t>
      </w:r>
      <w:r w:rsidR="009E2D33" w:rsidRPr="002C150A">
        <w:rPr>
          <w:b/>
          <w:sz w:val="28"/>
          <w:szCs w:val="28"/>
          <w:u w:val="single"/>
        </w:rPr>
        <w:t xml:space="preserve">oi sur la résiliation annuelle en Assurance </w:t>
      </w:r>
      <w:r w:rsidR="00F238FA" w:rsidRPr="002C150A">
        <w:rPr>
          <w:b/>
          <w:sz w:val="28"/>
          <w:szCs w:val="28"/>
          <w:u w:val="single"/>
        </w:rPr>
        <w:t>d</w:t>
      </w:r>
      <w:r w:rsidR="009E2D33" w:rsidRPr="002C150A">
        <w:rPr>
          <w:b/>
          <w:sz w:val="28"/>
          <w:szCs w:val="28"/>
          <w:u w:val="single"/>
        </w:rPr>
        <w:t>es Emprunteurs</w:t>
      </w:r>
      <w:r>
        <w:rPr>
          <w:b/>
          <w:sz w:val="28"/>
          <w:szCs w:val="28"/>
          <w:u w:val="single"/>
        </w:rPr>
        <w:t xml:space="preserve"> : impacts pour les assurés et les assureurs </w:t>
      </w:r>
    </w:p>
    <w:p w14:paraId="02781549" w14:textId="01557296" w:rsidR="00DE3673" w:rsidRDefault="00DE3673" w:rsidP="002C150A">
      <w:pPr>
        <w:jc w:val="center"/>
      </w:pPr>
    </w:p>
    <w:p w14:paraId="461982C4" w14:textId="77777777" w:rsidR="004A01D2" w:rsidRPr="00DE3673" w:rsidRDefault="004A01D2" w:rsidP="00DE3673"/>
    <w:p w14:paraId="398B965F" w14:textId="0AD8F8FA" w:rsidR="007045DE" w:rsidRPr="002C150A" w:rsidRDefault="00F53176" w:rsidP="00355588">
      <w:pPr>
        <w:jc w:val="both"/>
        <w:rPr>
          <w:rStyle w:val="Accentuation"/>
          <w:b/>
          <w:i w:val="0"/>
          <w:iCs w:val="0"/>
        </w:rPr>
      </w:pPr>
      <w:r w:rsidRPr="002C150A">
        <w:rPr>
          <w:b/>
        </w:rPr>
        <w:t xml:space="preserve">Suite à l’amendement Bourquin, le </w:t>
      </w:r>
      <w:r w:rsidR="00DE3673" w:rsidRPr="002C150A">
        <w:rPr>
          <w:b/>
        </w:rPr>
        <w:t>C</w:t>
      </w:r>
      <w:r w:rsidRPr="002C150A">
        <w:rPr>
          <w:b/>
        </w:rPr>
        <w:t xml:space="preserve">onseil </w:t>
      </w:r>
      <w:r w:rsidR="00DE3673" w:rsidRPr="002C150A">
        <w:rPr>
          <w:b/>
        </w:rPr>
        <w:t>Constitutionnel a tranché l</w:t>
      </w:r>
      <w:r w:rsidR="007045DE" w:rsidRPr="002C150A">
        <w:rPr>
          <w:b/>
        </w:rPr>
        <w:t xml:space="preserve">e 12 Janvier dernier, et </w:t>
      </w:r>
      <w:r w:rsidR="00A16EE1" w:rsidRPr="002C150A">
        <w:rPr>
          <w:b/>
        </w:rPr>
        <w:t>jugé conforme à la constitution le droit à la résiliation annuelle des contrats d’assurance de groupe.</w:t>
      </w:r>
      <w:r w:rsidR="001431FB" w:rsidRPr="002C150A">
        <w:rPr>
          <w:b/>
        </w:rPr>
        <w:t xml:space="preserve"> </w:t>
      </w:r>
      <w:r w:rsidR="0004392B" w:rsidRPr="002C150A">
        <w:rPr>
          <w:b/>
        </w:rPr>
        <w:t>Il</w:t>
      </w:r>
      <w:r w:rsidR="001431FB" w:rsidRPr="002C150A">
        <w:rPr>
          <w:b/>
        </w:rPr>
        <w:t xml:space="preserve"> </w:t>
      </w:r>
      <w:r w:rsidR="008E196D" w:rsidRPr="002C150A">
        <w:rPr>
          <w:b/>
        </w:rPr>
        <w:t>soutient</w:t>
      </w:r>
      <w:r w:rsidR="001431FB" w:rsidRPr="002C150A">
        <w:rPr>
          <w:b/>
        </w:rPr>
        <w:t xml:space="preserve"> </w:t>
      </w:r>
      <w:r w:rsidR="008E196D" w:rsidRPr="002C150A">
        <w:rPr>
          <w:b/>
        </w:rPr>
        <w:t>qu’avec</w:t>
      </w:r>
      <w:r w:rsidR="009531DB" w:rsidRPr="002C150A">
        <w:rPr>
          <w:b/>
        </w:rPr>
        <w:t xml:space="preserve"> cette décision, </w:t>
      </w:r>
      <w:r w:rsidR="009531DB" w:rsidRPr="002C150A">
        <w:rPr>
          <w:rFonts w:cstheme="minorHAnsi"/>
          <w:b/>
        </w:rPr>
        <w:t>« </w:t>
      </w:r>
      <w:r w:rsidR="009531DB" w:rsidRPr="002C150A">
        <w:rPr>
          <w:rFonts w:cstheme="minorHAnsi"/>
          <w:b/>
          <w:i/>
        </w:rPr>
        <w:t>l</w:t>
      </w:r>
      <w:r w:rsidR="009531DB" w:rsidRPr="002C150A">
        <w:rPr>
          <w:rStyle w:val="Accentuation"/>
          <w:rFonts w:cstheme="minorHAnsi"/>
          <w:b/>
          <w:color w:val="000000"/>
          <w:sz w:val="21"/>
          <w:szCs w:val="21"/>
          <w:shd w:val="clear" w:color="auto" w:fill="FFFFFF"/>
        </w:rPr>
        <w:t>e législateur a entendu renforcer la protection des consommateurs en assurant un meilleur équilibre contractuel entre l'assuré emprunteur et les établissements bancaires et leurs partenaires assureurs »</w:t>
      </w:r>
      <w:r w:rsidR="009531DB" w:rsidRPr="002C150A">
        <w:rPr>
          <w:rStyle w:val="Accentuation"/>
          <w:rFonts w:cstheme="minorHAnsi"/>
          <w:b/>
          <w:i w:val="0"/>
          <w:color w:val="000000"/>
          <w:sz w:val="21"/>
          <w:szCs w:val="21"/>
          <w:shd w:val="clear" w:color="auto" w:fill="FFFFFF"/>
        </w:rPr>
        <w:t xml:space="preserve"> </w:t>
      </w:r>
      <w:r w:rsidR="00FF0E0D" w:rsidRPr="002C150A">
        <w:rPr>
          <w:rStyle w:val="Accentuation"/>
          <w:rFonts w:cstheme="minorHAnsi"/>
          <w:b/>
          <w:i w:val="0"/>
          <w:color w:val="000000"/>
          <w:szCs w:val="21"/>
          <w:shd w:val="clear" w:color="auto" w:fill="FFFFFF"/>
        </w:rPr>
        <w:t>avec pour objectif</w:t>
      </w:r>
      <w:r w:rsidR="008815DC" w:rsidRPr="002C150A">
        <w:rPr>
          <w:rStyle w:val="Accentuation"/>
          <w:rFonts w:cstheme="minorHAnsi"/>
          <w:b/>
          <w:i w:val="0"/>
          <w:color w:val="000000"/>
          <w:szCs w:val="21"/>
          <w:shd w:val="clear" w:color="auto" w:fill="FFFFFF"/>
        </w:rPr>
        <w:t xml:space="preserve"> </w:t>
      </w:r>
      <w:r w:rsidR="008815DC" w:rsidRPr="002C150A">
        <w:rPr>
          <w:rStyle w:val="Accentuation"/>
          <w:rFonts w:cstheme="minorHAnsi"/>
          <w:b/>
          <w:i w:val="0"/>
          <w:color w:val="000000"/>
          <w:sz w:val="21"/>
          <w:szCs w:val="21"/>
          <w:shd w:val="clear" w:color="auto" w:fill="FFFFFF"/>
        </w:rPr>
        <w:t>« </w:t>
      </w:r>
      <w:r w:rsidR="008815DC" w:rsidRPr="002C150A">
        <w:rPr>
          <w:rStyle w:val="Accentuation"/>
          <w:rFonts w:cstheme="minorHAnsi"/>
          <w:b/>
          <w:color w:val="000000"/>
          <w:shd w:val="clear" w:color="auto" w:fill="FFFFFF"/>
        </w:rPr>
        <w:t>que cette réforme puisse profiter au grand nombre des emprunteurs ayant déjà conclu un contrat d'assurance collectif</w:t>
      </w:r>
      <w:r w:rsidR="008815DC" w:rsidRPr="002C150A">
        <w:rPr>
          <w:rStyle w:val="Accentuation"/>
          <w:rFonts w:cstheme="minorHAnsi"/>
          <w:b/>
          <w:i w:val="0"/>
          <w:color w:val="000000"/>
          <w:shd w:val="clear" w:color="auto" w:fill="FFFFFF"/>
        </w:rPr>
        <w:t> ».</w:t>
      </w:r>
    </w:p>
    <w:p w14:paraId="575FE9AA" w14:textId="76E087F8" w:rsidR="008E196D" w:rsidRPr="002C150A" w:rsidRDefault="008E196D" w:rsidP="008E196D">
      <w:pPr>
        <w:jc w:val="both"/>
        <w:rPr>
          <w:rFonts w:cstheme="minorHAnsi"/>
          <w:b/>
        </w:rPr>
      </w:pPr>
      <w:r w:rsidRPr="002C150A">
        <w:rPr>
          <w:rFonts w:cstheme="minorHAnsi"/>
          <w:b/>
        </w:rPr>
        <w:t>S</w:t>
      </w:r>
      <w:r w:rsidR="000116CD" w:rsidRPr="002C150A">
        <w:rPr>
          <w:rFonts w:cstheme="minorHAnsi"/>
          <w:b/>
        </w:rPr>
        <w:t>alué</w:t>
      </w:r>
      <w:r w:rsidR="004611EA" w:rsidRPr="002C150A">
        <w:rPr>
          <w:rFonts w:cstheme="minorHAnsi"/>
          <w:b/>
        </w:rPr>
        <w:t>e</w:t>
      </w:r>
      <w:r w:rsidR="000116CD" w:rsidRPr="002C150A">
        <w:rPr>
          <w:rFonts w:cstheme="minorHAnsi"/>
          <w:b/>
        </w:rPr>
        <w:t xml:space="preserve"> par l</w:t>
      </w:r>
      <w:r w:rsidR="008342F6" w:rsidRPr="002C150A">
        <w:rPr>
          <w:rFonts w:cstheme="minorHAnsi"/>
          <w:b/>
        </w:rPr>
        <w:t>es principaux acteurs du marché de l’assurance (assureurs individuels,</w:t>
      </w:r>
      <w:r w:rsidR="000116CD" w:rsidRPr="002C150A">
        <w:rPr>
          <w:rFonts w:cstheme="minorHAnsi"/>
          <w:b/>
        </w:rPr>
        <w:t xml:space="preserve"> courtiers et agents généraux)</w:t>
      </w:r>
      <w:r w:rsidRPr="002C150A">
        <w:rPr>
          <w:rFonts w:cstheme="minorHAnsi"/>
          <w:b/>
        </w:rPr>
        <w:t>, c</w:t>
      </w:r>
      <w:r w:rsidR="000116CD" w:rsidRPr="002C150A">
        <w:rPr>
          <w:rFonts w:cstheme="minorHAnsi"/>
          <w:b/>
        </w:rPr>
        <w:t xml:space="preserve">ette loi </w:t>
      </w:r>
      <w:r w:rsidR="00EC01DB" w:rsidRPr="002C150A">
        <w:rPr>
          <w:rFonts w:cstheme="minorHAnsi"/>
          <w:b/>
        </w:rPr>
        <w:t>ouvre ainsi</w:t>
      </w:r>
      <w:r w:rsidR="000116CD" w:rsidRPr="002C150A">
        <w:rPr>
          <w:rFonts w:cstheme="minorHAnsi"/>
          <w:b/>
        </w:rPr>
        <w:t xml:space="preserve"> la porte </w:t>
      </w:r>
      <w:r w:rsidR="00A87872" w:rsidRPr="002C150A">
        <w:rPr>
          <w:rFonts w:cstheme="minorHAnsi"/>
          <w:b/>
        </w:rPr>
        <w:t>à</w:t>
      </w:r>
      <w:r w:rsidR="000116CD" w:rsidRPr="002C150A">
        <w:rPr>
          <w:rFonts w:cstheme="minorHAnsi"/>
          <w:b/>
        </w:rPr>
        <w:t xml:space="preserve"> de nombreuses perspectives </w:t>
      </w:r>
      <w:r w:rsidRPr="002C150A">
        <w:rPr>
          <w:rFonts w:cstheme="minorHAnsi"/>
          <w:b/>
        </w:rPr>
        <w:t xml:space="preserve">de conquête du marché </w:t>
      </w:r>
      <w:r w:rsidR="009B0F6B" w:rsidRPr="002C150A">
        <w:rPr>
          <w:rFonts w:cstheme="minorHAnsi"/>
          <w:b/>
        </w:rPr>
        <w:t>pour les assureurs</w:t>
      </w:r>
      <w:r w:rsidRPr="002C150A">
        <w:rPr>
          <w:rFonts w:cstheme="minorHAnsi"/>
          <w:b/>
        </w:rPr>
        <w:t>.</w:t>
      </w:r>
    </w:p>
    <w:p w14:paraId="56872C6D" w14:textId="78D13666" w:rsidR="00355588" w:rsidRPr="002C150A" w:rsidRDefault="002C150A" w:rsidP="008E196D">
      <w:pPr>
        <w:jc w:val="both"/>
        <w:rPr>
          <w:b/>
          <w:color w:val="2F5496" w:themeColor="accent1" w:themeShade="BF"/>
          <w:u w:val="single"/>
        </w:rPr>
      </w:pPr>
      <w:r w:rsidRPr="002C150A">
        <w:rPr>
          <w:b/>
          <w:color w:val="2F5496" w:themeColor="accent1" w:themeShade="BF"/>
          <w:u w:val="single"/>
        </w:rPr>
        <w:t>Un</w:t>
      </w:r>
      <w:r>
        <w:rPr>
          <w:b/>
          <w:color w:val="2F5496" w:themeColor="accent1" w:themeShade="BF"/>
          <w:u w:val="single"/>
        </w:rPr>
        <w:t>e</w:t>
      </w:r>
      <w:r w:rsidRPr="002C150A">
        <w:rPr>
          <w:b/>
          <w:color w:val="2F5496" w:themeColor="accent1" w:themeShade="BF"/>
          <w:u w:val="single"/>
        </w:rPr>
        <w:t xml:space="preserve"> </w:t>
      </w:r>
      <w:r>
        <w:rPr>
          <w:b/>
          <w:color w:val="2F5496" w:themeColor="accent1" w:themeShade="BF"/>
          <w:u w:val="single"/>
        </w:rPr>
        <w:t>évolution entamée de longue date, un démarrage</w:t>
      </w:r>
      <w:r w:rsidRPr="002C150A">
        <w:rPr>
          <w:b/>
          <w:color w:val="2F5496" w:themeColor="accent1" w:themeShade="BF"/>
          <w:u w:val="single"/>
        </w:rPr>
        <w:t xml:space="preserve"> difficile</w:t>
      </w:r>
    </w:p>
    <w:p w14:paraId="3BFC7BF9" w14:textId="5CC308D1" w:rsidR="00F53176" w:rsidRDefault="007D40A8" w:rsidP="00355588">
      <w:pPr>
        <w:jc w:val="both"/>
      </w:pPr>
      <w:r>
        <w:t>Avec l</w:t>
      </w:r>
      <w:r w:rsidR="00F53176">
        <w:t>’amendement Bourquin du 21 février 2017</w:t>
      </w:r>
      <w:r>
        <w:t>, l</w:t>
      </w:r>
      <w:r w:rsidR="00F53176">
        <w:t xml:space="preserve">e législateur a voulu donner aux emprunteurs la possibilité de résilier </w:t>
      </w:r>
      <w:r w:rsidR="00F53176" w:rsidRPr="00F53176">
        <w:rPr>
          <w:b/>
        </w:rPr>
        <w:t>tous les ans</w:t>
      </w:r>
      <w:r w:rsidR="00F53176">
        <w:t xml:space="preserve"> leurs contrats d’assurance de prêt immobilier. Ce texte ne concerne pas uniquement les nouveaux prêts mais s’applique également, </w:t>
      </w:r>
      <w:r w:rsidR="00355588">
        <w:t>depuis le</w:t>
      </w:r>
      <w:r w:rsidR="00F53176">
        <w:t xml:space="preserve"> 1</w:t>
      </w:r>
      <w:r w:rsidR="00F53176" w:rsidRPr="00F53176">
        <w:t>er</w:t>
      </w:r>
      <w:r w:rsidR="00F53176">
        <w:t xml:space="preserve"> Janvier 2018, à </w:t>
      </w:r>
      <w:r w:rsidR="00F53176" w:rsidRPr="00F53176">
        <w:rPr>
          <w:b/>
        </w:rPr>
        <w:t>l’ensemble des crédits existants</w:t>
      </w:r>
      <w:r w:rsidR="00F53176">
        <w:t>.</w:t>
      </w:r>
    </w:p>
    <w:p w14:paraId="20B5435F" w14:textId="70B89756" w:rsidR="002453F3" w:rsidRDefault="002C150A" w:rsidP="00355588">
      <w:pPr>
        <w:jc w:val="both"/>
      </w:pPr>
      <w:r>
        <w:t>Il</w:t>
      </w:r>
      <w:r w:rsidR="002453F3">
        <w:t xml:space="preserve"> s’inscrit dans la lignée d’une série de lois</w:t>
      </w:r>
      <w:r w:rsidR="008E196D">
        <w:t xml:space="preserve"> (Lagarde en 2010 et Hamon en 2014)</w:t>
      </w:r>
      <w:r w:rsidR="002453F3">
        <w:t xml:space="preserve"> </w:t>
      </w:r>
      <w:r w:rsidR="00A743A0">
        <w:t>ouvrant</w:t>
      </w:r>
      <w:r w:rsidR="002453F3">
        <w:t xml:space="preserve"> la concurrence sur le marché de l’emprunteur</w:t>
      </w:r>
      <w:r w:rsidR="007F0C06">
        <w:t>,</w:t>
      </w:r>
      <w:r w:rsidR="002453F3">
        <w:t xml:space="preserve"> jusque-là </w:t>
      </w:r>
      <w:r w:rsidR="00622513">
        <w:t xml:space="preserve">principalement </w:t>
      </w:r>
      <w:r w:rsidR="0017662C">
        <w:t>détenu</w:t>
      </w:r>
      <w:r w:rsidR="00622513">
        <w:t xml:space="preserve"> </w:t>
      </w:r>
      <w:r w:rsidR="002453F3">
        <w:t>par les établissements bancaires.</w:t>
      </w:r>
    </w:p>
    <w:p w14:paraId="755D1A1E" w14:textId="2733D757" w:rsidR="00155B42" w:rsidRDefault="008E196D" w:rsidP="00355588">
      <w:pPr>
        <w:jc w:val="both"/>
        <w:rPr>
          <w:rFonts w:cstheme="minorHAnsi"/>
        </w:rPr>
      </w:pPr>
      <w:r>
        <w:rPr>
          <w:rFonts w:cstheme="minorHAnsi"/>
        </w:rPr>
        <w:t>Or,</w:t>
      </w:r>
      <w:r w:rsidR="00A70A63">
        <w:rPr>
          <w:rFonts w:cstheme="minorHAnsi"/>
        </w:rPr>
        <w:t xml:space="preserve"> </w:t>
      </w:r>
      <w:r>
        <w:rPr>
          <w:rFonts w:cstheme="minorHAnsi"/>
        </w:rPr>
        <w:t>d</w:t>
      </w:r>
      <w:r w:rsidR="00A70A63">
        <w:rPr>
          <w:rFonts w:cstheme="minorHAnsi"/>
        </w:rPr>
        <w:t>’après les chiffres de la Fédération Française de l’Assurance</w:t>
      </w:r>
      <w:r w:rsidR="00C13747">
        <w:rPr>
          <w:rFonts w:cstheme="minorHAnsi"/>
        </w:rPr>
        <w:t xml:space="preserve"> en 201</w:t>
      </w:r>
      <w:r w:rsidR="00377B5E">
        <w:rPr>
          <w:rFonts w:cstheme="minorHAnsi"/>
        </w:rPr>
        <w:t>5</w:t>
      </w:r>
      <w:r w:rsidR="00C13747">
        <w:rPr>
          <w:rFonts w:cstheme="minorHAnsi"/>
        </w:rPr>
        <w:t xml:space="preserve">, seuls </w:t>
      </w:r>
      <w:r w:rsidR="00C13747" w:rsidRPr="0046638A">
        <w:rPr>
          <w:rFonts w:cstheme="minorHAnsi"/>
          <w:b/>
        </w:rPr>
        <w:t>12</w:t>
      </w:r>
      <w:r w:rsidR="0046638A">
        <w:rPr>
          <w:rFonts w:cstheme="minorHAnsi"/>
          <w:b/>
        </w:rPr>
        <w:t xml:space="preserve"> </w:t>
      </w:r>
      <w:r w:rsidR="00C13747" w:rsidRPr="0046638A">
        <w:rPr>
          <w:rFonts w:cstheme="minorHAnsi"/>
          <w:b/>
        </w:rPr>
        <w:t>%</w:t>
      </w:r>
      <w:r w:rsidR="00C13747">
        <w:rPr>
          <w:rFonts w:cstheme="minorHAnsi"/>
        </w:rPr>
        <w:t xml:space="preserve"> des assurés ont</w:t>
      </w:r>
      <w:r w:rsidR="00155B42">
        <w:rPr>
          <w:rFonts w:cstheme="minorHAnsi"/>
        </w:rPr>
        <w:t xml:space="preserve"> eu</w:t>
      </w:r>
      <w:r w:rsidR="00C13747">
        <w:rPr>
          <w:rFonts w:cstheme="minorHAnsi"/>
        </w:rPr>
        <w:t xml:space="preserve"> recours à la délégation d’assurance</w:t>
      </w:r>
      <w:r w:rsidR="00155B42">
        <w:rPr>
          <w:rFonts w:cstheme="minorHAnsi"/>
        </w:rPr>
        <w:t xml:space="preserve">. </w:t>
      </w:r>
      <w:r w:rsidR="009753F6">
        <w:rPr>
          <w:rFonts w:cstheme="minorHAnsi"/>
        </w:rPr>
        <w:t>Elle pointe</w:t>
      </w:r>
      <w:r>
        <w:rPr>
          <w:rFonts w:cstheme="minorHAnsi"/>
        </w:rPr>
        <w:t xml:space="preserve"> </w:t>
      </w:r>
      <w:r w:rsidR="00155B42">
        <w:rPr>
          <w:rFonts w:cstheme="minorHAnsi"/>
        </w:rPr>
        <w:t>:</w:t>
      </w:r>
    </w:p>
    <w:p w14:paraId="4F1040F5" w14:textId="0B073314" w:rsidR="008E1447" w:rsidRDefault="00155B42" w:rsidP="00093EFE">
      <w:pPr>
        <w:pStyle w:val="Paragraphedeliste"/>
        <w:numPr>
          <w:ilvl w:val="0"/>
          <w:numId w:val="3"/>
        </w:numPr>
        <w:jc w:val="both"/>
      </w:pPr>
      <w:r w:rsidRPr="0046638A">
        <w:rPr>
          <w:rFonts w:cstheme="minorHAnsi"/>
          <w:u w:val="single"/>
        </w:rPr>
        <w:t>Le manque d’information des banques vis-à-vis de ses assurés emprunteurs</w:t>
      </w:r>
      <w:r w:rsidRPr="0046638A">
        <w:rPr>
          <w:rFonts w:cstheme="minorHAnsi"/>
        </w:rPr>
        <w:t> : Les établissements bancaires sont peu</w:t>
      </w:r>
      <w:r w:rsidR="0046638A">
        <w:rPr>
          <w:rFonts w:cstheme="minorHAnsi"/>
        </w:rPr>
        <w:t xml:space="preserve"> enclins</w:t>
      </w:r>
      <w:r w:rsidRPr="0046638A">
        <w:rPr>
          <w:rFonts w:cstheme="minorHAnsi"/>
        </w:rPr>
        <w:t xml:space="preserve"> </w:t>
      </w:r>
      <w:r w:rsidRPr="00373C1B">
        <w:t xml:space="preserve">à abandonner une source importante de </w:t>
      </w:r>
      <w:r w:rsidRPr="0046638A">
        <w:rPr>
          <w:b/>
        </w:rPr>
        <w:t>bénéfices</w:t>
      </w:r>
      <w:r w:rsidR="0046638A" w:rsidRPr="0046638A">
        <w:rPr>
          <w:b/>
        </w:rPr>
        <w:t> </w:t>
      </w:r>
      <w:r w:rsidR="0046638A">
        <w:t xml:space="preserve">; </w:t>
      </w:r>
      <w:r w:rsidRPr="00373C1B">
        <w:t xml:space="preserve">la partie assurance d’un crédit immobilier </w:t>
      </w:r>
      <w:r w:rsidR="0046638A">
        <w:t xml:space="preserve">étant </w:t>
      </w:r>
      <w:r w:rsidR="00622513">
        <w:t xml:space="preserve">en général </w:t>
      </w:r>
      <w:r w:rsidR="00622513" w:rsidRPr="00622513">
        <w:rPr>
          <w:b/>
        </w:rPr>
        <w:t>source de résultats excédentaires</w:t>
      </w:r>
      <w:r w:rsidRPr="00373C1B">
        <w:t xml:space="preserve">. </w:t>
      </w:r>
      <w:r w:rsidR="00983521">
        <w:t xml:space="preserve">Ces bénéfices importants servent en partie à rémunérer </w:t>
      </w:r>
      <w:r w:rsidR="006B6780">
        <w:t xml:space="preserve">sous la forme d’un </w:t>
      </w:r>
      <w:r w:rsidR="006B6780" w:rsidRPr="006B6780">
        <w:rPr>
          <w:b/>
        </w:rPr>
        <w:t>commissionnement</w:t>
      </w:r>
      <w:r w:rsidR="006B6780">
        <w:t xml:space="preserve"> (fixe ou variable) les </w:t>
      </w:r>
      <w:r w:rsidR="006B6780" w:rsidRPr="006B6780">
        <w:rPr>
          <w:b/>
        </w:rPr>
        <w:t>apporteurs d’affaires</w:t>
      </w:r>
      <w:r w:rsidR="006B6780">
        <w:t xml:space="preserve"> qui permettent de faire le lien entre assurances et banques.</w:t>
      </w:r>
    </w:p>
    <w:p w14:paraId="2E3F2E0E" w14:textId="77777777" w:rsidR="00093EFE" w:rsidRPr="00173E05" w:rsidRDefault="00093EFE" w:rsidP="00093EFE">
      <w:pPr>
        <w:pStyle w:val="Paragraphedeliste"/>
        <w:ind w:left="360"/>
        <w:jc w:val="both"/>
      </w:pPr>
    </w:p>
    <w:p w14:paraId="0DCD6412" w14:textId="0CB51D68" w:rsidR="00B645C1" w:rsidRDefault="0046638A" w:rsidP="00B645C1">
      <w:pPr>
        <w:pStyle w:val="Paragraphedeliste"/>
        <w:numPr>
          <w:ilvl w:val="0"/>
          <w:numId w:val="3"/>
        </w:numPr>
        <w:jc w:val="both"/>
      </w:pPr>
      <w:r w:rsidRPr="009748D2">
        <w:rPr>
          <w:rFonts w:cstheme="minorHAnsi"/>
          <w:u w:val="single"/>
        </w:rPr>
        <w:t>Un délai de réflexion trop court pour les emprunteurs</w:t>
      </w:r>
      <w:r w:rsidRPr="009748D2">
        <w:rPr>
          <w:rFonts w:cstheme="minorHAnsi"/>
        </w:rPr>
        <w:t> : Les emprunteurs ne dispos</w:t>
      </w:r>
      <w:r w:rsidR="00FA695F">
        <w:rPr>
          <w:rFonts w:cstheme="minorHAnsi"/>
        </w:rPr>
        <w:t>ai</w:t>
      </w:r>
      <w:r w:rsidRPr="009748D2">
        <w:rPr>
          <w:rFonts w:cstheme="minorHAnsi"/>
        </w:rPr>
        <w:t>ent que des 12 premiers mois</w:t>
      </w:r>
      <w:r w:rsidR="00FD4085">
        <w:rPr>
          <w:rFonts w:cstheme="minorHAnsi"/>
        </w:rPr>
        <w:t xml:space="preserve"> suivant l’emprunt</w:t>
      </w:r>
      <w:r w:rsidRPr="009748D2">
        <w:rPr>
          <w:rFonts w:cstheme="minorHAnsi"/>
        </w:rPr>
        <w:t xml:space="preserve"> pour résilier leur assuranc</w:t>
      </w:r>
      <w:r w:rsidR="008E1447" w:rsidRPr="009748D2">
        <w:rPr>
          <w:rFonts w:cstheme="minorHAnsi"/>
        </w:rPr>
        <w:t xml:space="preserve">e emprunteur ce qui </w:t>
      </w:r>
      <w:r w:rsidR="00707DC1" w:rsidRPr="009748D2">
        <w:rPr>
          <w:rFonts w:cstheme="minorHAnsi"/>
        </w:rPr>
        <w:t>constitu</w:t>
      </w:r>
      <w:r w:rsidR="0016650D">
        <w:rPr>
          <w:rFonts w:cstheme="minorHAnsi"/>
        </w:rPr>
        <w:t>ait</w:t>
      </w:r>
      <w:r w:rsidR="00707DC1" w:rsidRPr="009748D2">
        <w:rPr>
          <w:rFonts w:cstheme="minorHAnsi"/>
        </w:rPr>
        <w:t xml:space="preserve"> un </w:t>
      </w:r>
      <w:r w:rsidR="00707DC1" w:rsidRPr="00FD4085">
        <w:rPr>
          <w:rFonts w:cstheme="minorHAnsi"/>
          <w:b/>
        </w:rPr>
        <w:t>délai relativement court</w:t>
      </w:r>
      <w:r w:rsidR="0049118F" w:rsidRPr="009748D2">
        <w:rPr>
          <w:rFonts w:cstheme="minorHAnsi"/>
        </w:rPr>
        <w:t xml:space="preserve"> pour </w:t>
      </w:r>
      <w:r w:rsidR="008E1447" w:rsidRPr="009748D2">
        <w:rPr>
          <w:rFonts w:cstheme="minorHAnsi"/>
        </w:rPr>
        <w:t>étudier l’ensemble des offres d’</w:t>
      </w:r>
      <w:r w:rsidR="009748D2">
        <w:rPr>
          <w:rFonts w:cstheme="minorHAnsi"/>
        </w:rPr>
        <w:t>assurance sur le marché.</w:t>
      </w:r>
    </w:p>
    <w:p w14:paraId="2D115A99" w14:textId="77777777" w:rsidR="00B645C1" w:rsidRPr="00B645C1" w:rsidRDefault="00B645C1" w:rsidP="00B645C1">
      <w:pPr>
        <w:pStyle w:val="Paragraphedeliste"/>
        <w:ind w:left="360"/>
        <w:jc w:val="both"/>
      </w:pPr>
    </w:p>
    <w:p w14:paraId="69DA2ECB" w14:textId="17666E64" w:rsidR="00355588" w:rsidRPr="002C150A" w:rsidRDefault="002F135F" w:rsidP="002C150A">
      <w:pPr>
        <w:jc w:val="both"/>
        <w:rPr>
          <w:b/>
          <w:color w:val="2F5496" w:themeColor="accent1" w:themeShade="BF"/>
          <w:u w:val="single"/>
        </w:rPr>
      </w:pPr>
      <w:r w:rsidRPr="002C150A">
        <w:rPr>
          <w:b/>
          <w:color w:val="2F5496" w:themeColor="accent1" w:themeShade="BF"/>
          <w:u w:val="single"/>
        </w:rPr>
        <w:t xml:space="preserve"> </w:t>
      </w:r>
      <w:r w:rsidR="00223375" w:rsidRPr="002C150A">
        <w:rPr>
          <w:b/>
          <w:color w:val="2F5496" w:themeColor="accent1" w:themeShade="BF"/>
          <w:u w:val="single"/>
        </w:rPr>
        <w:t xml:space="preserve">Les enjeux </w:t>
      </w:r>
      <w:r w:rsidRPr="002C150A">
        <w:rPr>
          <w:b/>
          <w:color w:val="2F5496" w:themeColor="accent1" w:themeShade="BF"/>
          <w:u w:val="single"/>
        </w:rPr>
        <w:t>en termes de tarif d’assurance</w:t>
      </w:r>
    </w:p>
    <w:p w14:paraId="270CD93E" w14:textId="55D023C0" w:rsidR="002C150A" w:rsidRDefault="006B6AFA" w:rsidP="007278E9">
      <w:pPr>
        <w:jc w:val="both"/>
      </w:pPr>
      <w:r>
        <w:t>Cette</w:t>
      </w:r>
      <w:r w:rsidR="002C150A">
        <w:t xml:space="preserve"> loi </w:t>
      </w:r>
      <w:r>
        <w:t xml:space="preserve">pourrait bien changer la donne et </w:t>
      </w:r>
      <w:r w:rsidR="002C150A">
        <w:t xml:space="preserve">permettre </w:t>
      </w:r>
      <w:r w:rsidR="002C150A" w:rsidRPr="005B43C4">
        <w:rPr>
          <w:b/>
        </w:rPr>
        <w:t>d’accroître la concurrence sur le marché de l’emprunteur</w:t>
      </w:r>
      <w:r w:rsidR="002C150A">
        <w:t xml:space="preserve"> en </w:t>
      </w:r>
      <w:r>
        <w:t>offrant</w:t>
      </w:r>
      <w:r w:rsidR="002C150A">
        <w:t xml:space="preserve"> aux assureurs </w:t>
      </w:r>
      <w:r>
        <w:t xml:space="preserve">l’opportunité </w:t>
      </w:r>
      <w:r w:rsidR="002C150A">
        <w:t xml:space="preserve">de développer davantage leur offre sur </w:t>
      </w:r>
      <w:r>
        <w:t>un</w:t>
      </w:r>
      <w:r w:rsidR="002C150A">
        <w:t xml:space="preserve"> marché qui dégage des bénéfices conséquents (des taux de marge proches de </w:t>
      </w:r>
      <w:r w:rsidR="002C150A">
        <w:rPr>
          <w:b/>
        </w:rPr>
        <w:t xml:space="preserve">40 </w:t>
      </w:r>
      <w:r w:rsidR="002C150A" w:rsidRPr="0049118F">
        <w:rPr>
          <w:b/>
        </w:rPr>
        <w:t>%</w:t>
      </w:r>
      <w:r w:rsidR="002C150A">
        <w:t> ne sont pas rares) ; de quoi susciter l’intérêt des assureurs alternatifs actuels voire celui de nouveaux acteurs.</w:t>
      </w:r>
      <w:r>
        <w:t xml:space="preserve"> Et ce, même si dans plus de 85 % des cas, les assurés souscrivent leur assurance de prêt auprès de leur banque.</w:t>
      </w:r>
    </w:p>
    <w:p w14:paraId="0A34BE06" w14:textId="7F53D8A6" w:rsidR="00056DD5" w:rsidRDefault="006B6AFA" w:rsidP="007278E9">
      <w:pPr>
        <w:jc w:val="both"/>
      </w:pPr>
      <w:r>
        <w:t>C</w:t>
      </w:r>
      <w:r w:rsidR="003766F4">
        <w:t xml:space="preserve">ertains acteurs du marché prévoient que </w:t>
      </w:r>
      <w:r w:rsidR="00056DD5" w:rsidRPr="00056DD5">
        <w:rPr>
          <w:b/>
        </w:rPr>
        <w:t>63 %</w:t>
      </w:r>
      <w:r w:rsidR="00056DD5">
        <w:t xml:space="preserve"> des primes d’assurance, soit entre </w:t>
      </w:r>
      <w:r w:rsidR="00056DD5" w:rsidRPr="00056DD5">
        <w:rPr>
          <w:b/>
        </w:rPr>
        <w:t>600 et 1,4 Md €</w:t>
      </w:r>
      <w:r w:rsidR="00056DD5">
        <w:t xml:space="preserve">, </w:t>
      </w:r>
      <w:r w:rsidR="003766F4">
        <w:t>fassent</w:t>
      </w:r>
      <w:r w:rsidR="00056DD5">
        <w:t xml:space="preserve"> l’objet d’une délégation d’assurance</w:t>
      </w:r>
      <w:r>
        <w:t> ;</w:t>
      </w:r>
      <w:r w:rsidR="0064639A">
        <w:t xml:space="preserve"> </w:t>
      </w:r>
      <w:r>
        <w:t>un</w:t>
      </w:r>
      <w:r w:rsidR="00785763">
        <w:t xml:space="preserve"> poids considérable</w:t>
      </w:r>
      <w:r>
        <w:t>,</w:t>
      </w:r>
      <w:r w:rsidR="00785763">
        <w:t xml:space="preserve"> </w:t>
      </w:r>
      <w:r w:rsidR="00056DD5">
        <w:t>avec une hypothèse de taux de délégation d’assurance</w:t>
      </w:r>
      <w:r w:rsidR="00283F69">
        <w:t xml:space="preserve"> estimé</w:t>
      </w:r>
      <w:r w:rsidR="00056DD5">
        <w:t xml:space="preserve"> entre </w:t>
      </w:r>
      <w:r w:rsidR="00056DD5" w:rsidRPr="00056DD5">
        <w:rPr>
          <w:b/>
        </w:rPr>
        <w:t>15</w:t>
      </w:r>
      <w:r w:rsidR="00056DD5">
        <w:t xml:space="preserve"> et </w:t>
      </w:r>
      <w:r w:rsidR="00056DD5" w:rsidRPr="00056DD5">
        <w:rPr>
          <w:b/>
        </w:rPr>
        <w:t>35%</w:t>
      </w:r>
      <w:r w:rsidR="00056DD5">
        <w:t>.</w:t>
      </w:r>
    </w:p>
    <w:p w14:paraId="2C9DBD9F" w14:textId="2F3A1888" w:rsidR="00056DD5" w:rsidRDefault="00CB546F" w:rsidP="007278E9">
      <w:pPr>
        <w:jc w:val="both"/>
      </w:pPr>
      <w:r>
        <w:lastRenderedPageBreak/>
        <w:t xml:space="preserve">Cette concurrence accrue devrait bénéficier également aux assurés </w:t>
      </w:r>
      <w:r w:rsidR="00D6675A">
        <w:t>qui se verront proposer des contrats d’assurance plus diversifiés, avec des tarifs en baisse et de meilleures garanties.</w:t>
      </w:r>
      <w:r w:rsidR="000006D6">
        <w:t xml:space="preserve"> Les emprunteurs pourr</w:t>
      </w:r>
      <w:r w:rsidR="006E65ED">
        <w:t>aie</w:t>
      </w:r>
      <w:r w:rsidR="000006D6">
        <w:t>nt donc réaliser</w:t>
      </w:r>
      <w:r w:rsidR="00D6675A">
        <w:t xml:space="preserve"> des </w:t>
      </w:r>
      <w:r w:rsidR="00D6675A" w:rsidRPr="00181D30">
        <w:rPr>
          <w:b/>
        </w:rPr>
        <w:t>économies substantielles</w:t>
      </w:r>
      <w:r w:rsidR="00D6675A">
        <w:t xml:space="preserve"> sur leurs crédits</w:t>
      </w:r>
      <w:r w:rsidR="006E65ED">
        <w:t xml:space="preserve">, plus particulièrement </w:t>
      </w:r>
      <w:r w:rsidR="000006D6">
        <w:t xml:space="preserve">dans le contexte actuel de taux de crédits immobiliers bas. Ainsi, </w:t>
      </w:r>
      <w:r w:rsidR="00891C91">
        <w:t>grâce aux</w:t>
      </w:r>
      <w:r w:rsidR="000006D6">
        <w:t xml:space="preserve"> </w:t>
      </w:r>
      <w:r w:rsidR="001D61D8">
        <w:t>simulations,</w:t>
      </w:r>
      <w:r w:rsidR="000006D6">
        <w:t xml:space="preserve"> les emprunteurs</w:t>
      </w:r>
      <w:r w:rsidR="006E65ED">
        <w:t>, en fonction de leur profil,</w:t>
      </w:r>
      <w:r w:rsidR="000006D6">
        <w:t xml:space="preserve"> </w:t>
      </w:r>
      <w:r w:rsidR="006E65ED">
        <w:t xml:space="preserve">pourraient avoir </w:t>
      </w:r>
      <w:r w:rsidR="00181D30">
        <w:t>tout intérêt</w:t>
      </w:r>
      <w:r w:rsidR="000006D6">
        <w:t xml:space="preserve"> à jouer </w:t>
      </w:r>
      <w:r w:rsidR="0029522B">
        <w:t xml:space="preserve">de </w:t>
      </w:r>
      <w:r w:rsidR="000006D6">
        <w:t>la possibilité de délégation d’assurance</w:t>
      </w:r>
      <w:r w:rsidR="0029522B">
        <w:t xml:space="preserve">, les gains pouvant </w:t>
      </w:r>
      <w:r w:rsidR="006E65ED">
        <w:t>être significatifs comme l’illustre l’exemple ci-après</w:t>
      </w:r>
      <w:r w:rsidR="0029522B">
        <w:t>.</w:t>
      </w:r>
      <w:r w:rsidR="000006D6">
        <w:t xml:space="preserve"> </w:t>
      </w:r>
    </w:p>
    <w:p w14:paraId="3A805747" w14:textId="445D5249" w:rsidR="0029522B" w:rsidRDefault="00D3133F" w:rsidP="00056DD5">
      <w:pPr>
        <w:jc w:val="both"/>
        <w:rPr>
          <w:i/>
        </w:rPr>
      </w:pPr>
      <w:r w:rsidRPr="00D3133F">
        <w:rPr>
          <w:i/>
          <w:u w:val="single"/>
        </w:rPr>
        <w:t>Exemple</w:t>
      </w:r>
      <w:r>
        <w:t xml:space="preserve"> : </w:t>
      </w:r>
      <w:r w:rsidR="00E32323" w:rsidRPr="00E32323">
        <w:rPr>
          <w:i/>
        </w:rPr>
        <w:t>Soit</w:t>
      </w:r>
      <w:r w:rsidR="00E32323">
        <w:rPr>
          <w:i/>
        </w:rPr>
        <w:t xml:space="preserve"> un</w:t>
      </w:r>
      <w:r w:rsidR="007E5171">
        <w:rPr>
          <w:i/>
        </w:rPr>
        <w:t xml:space="preserve"> couple d’</w:t>
      </w:r>
      <w:r w:rsidR="003E66A7">
        <w:rPr>
          <w:i/>
        </w:rPr>
        <w:t>individu</w:t>
      </w:r>
      <w:r w:rsidR="007E5171">
        <w:rPr>
          <w:i/>
        </w:rPr>
        <w:t xml:space="preserve">s </w:t>
      </w:r>
      <w:r w:rsidR="00935702">
        <w:rPr>
          <w:i/>
        </w:rPr>
        <w:t>ayant</w:t>
      </w:r>
      <w:r w:rsidR="00F05C4C">
        <w:rPr>
          <w:i/>
        </w:rPr>
        <w:t xml:space="preserve"> souscrit </w:t>
      </w:r>
      <w:r w:rsidR="00AD2D28">
        <w:rPr>
          <w:i/>
        </w:rPr>
        <w:t xml:space="preserve">la </w:t>
      </w:r>
      <w:r w:rsidR="00AD2D28" w:rsidRPr="00E11975">
        <w:rPr>
          <w:b/>
          <w:i/>
        </w:rPr>
        <w:t>garantie décès</w:t>
      </w:r>
      <w:r w:rsidR="00B07A1C">
        <w:rPr>
          <w:b/>
          <w:i/>
        </w:rPr>
        <w:t xml:space="preserve"> et incapacité/invalidité</w:t>
      </w:r>
      <w:r w:rsidR="00AD2D28">
        <w:rPr>
          <w:i/>
        </w:rPr>
        <w:t xml:space="preserve"> d’</w:t>
      </w:r>
      <w:r w:rsidR="00F05C4C">
        <w:rPr>
          <w:i/>
        </w:rPr>
        <w:t>un contrat</w:t>
      </w:r>
      <w:r w:rsidR="00AD2D28">
        <w:rPr>
          <w:i/>
        </w:rPr>
        <w:t xml:space="preserve"> d’assurance emprunteur</w:t>
      </w:r>
      <w:r w:rsidR="00F05C4C">
        <w:rPr>
          <w:i/>
        </w:rPr>
        <w:t xml:space="preserve"> de </w:t>
      </w:r>
      <w:r w:rsidR="007E5171">
        <w:rPr>
          <w:i/>
        </w:rPr>
        <w:t xml:space="preserve">groupe, avec une </w:t>
      </w:r>
      <w:r w:rsidR="007E5171" w:rsidRPr="007E5171">
        <w:rPr>
          <w:b/>
          <w:i/>
        </w:rPr>
        <w:t>quotité assurée de 100</w:t>
      </w:r>
      <w:r w:rsidR="001554B2">
        <w:rPr>
          <w:b/>
          <w:i/>
        </w:rPr>
        <w:t xml:space="preserve"> </w:t>
      </w:r>
      <w:r w:rsidR="007E5171" w:rsidRPr="007E5171">
        <w:rPr>
          <w:b/>
          <w:i/>
        </w:rPr>
        <w:t>%</w:t>
      </w:r>
      <w:r w:rsidR="007E5171">
        <w:rPr>
          <w:i/>
        </w:rPr>
        <w:t xml:space="preserve"> pour chacune des deux têtes,</w:t>
      </w:r>
      <w:r w:rsidR="00C63F5C">
        <w:rPr>
          <w:rStyle w:val="Appelnotedebasdep"/>
          <w:i/>
        </w:rPr>
        <w:footnoteReference w:id="1"/>
      </w:r>
      <w:r w:rsidR="007502DC">
        <w:rPr>
          <w:i/>
        </w:rPr>
        <w:t xml:space="preserve"> </w:t>
      </w:r>
      <w:r w:rsidR="00F05C4C">
        <w:rPr>
          <w:i/>
        </w:rPr>
        <w:t xml:space="preserve">auprès d’un établissement bancaire </w:t>
      </w:r>
      <w:r w:rsidR="00E12796">
        <w:rPr>
          <w:i/>
        </w:rPr>
        <w:t>selon les caractéristiques</w:t>
      </w:r>
      <w:r w:rsidR="00935702">
        <w:rPr>
          <w:i/>
        </w:rPr>
        <w:t xml:space="preserve"> suivant</w:t>
      </w:r>
      <w:r w:rsidR="00E12796">
        <w:rPr>
          <w:i/>
        </w:rPr>
        <w:t>es</w:t>
      </w:r>
      <w:r w:rsidR="00935702">
        <w:rPr>
          <w:i/>
        </w:rPr>
        <w:t> :</w:t>
      </w:r>
    </w:p>
    <w:p w14:paraId="39458007" w14:textId="4D799FB7" w:rsidR="007E5171" w:rsidRPr="00CB375E" w:rsidRDefault="00B07A1C" w:rsidP="00056DD5">
      <w:pPr>
        <w:jc w:val="both"/>
      </w:pPr>
      <w:r w:rsidRPr="00816284">
        <w:rPr>
          <w:noProof/>
        </w:rPr>
        <w:drawing>
          <wp:inline distT="0" distB="0" distL="0" distR="0" wp14:anchorId="791010F8" wp14:editId="7868004A">
            <wp:extent cx="2971693" cy="118364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681" cy="1192398"/>
                    </a:xfrm>
                    <a:prstGeom prst="rect">
                      <a:avLst/>
                    </a:prstGeom>
                    <a:noFill/>
                    <a:ln>
                      <a:noFill/>
                    </a:ln>
                  </pic:spPr>
                </pic:pic>
              </a:graphicData>
            </a:graphic>
          </wp:inline>
        </w:drawing>
      </w:r>
    </w:p>
    <w:p w14:paraId="3528AB49" w14:textId="77777777" w:rsidR="00372B4A" w:rsidRDefault="00372B4A" w:rsidP="009D7BE2"/>
    <w:p w14:paraId="4EF42257" w14:textId="6457A4DE" w:rsidR="009D7BE2" w:rsidRDefault="00372B4A" w:rsidP="00372B4A">
      <w:pPr>
        <w:pStyle w:val="Paragraphedeliste"/>
        <w:numPr>
          <w:ilvl w:val="0"/>
          <w:numId w:val="7"/>
        </w:numPr>
      </w:pPr>
      <w:r w:rsidRPr="00372B4A">
        <w:rPr>
          <w:b/>
        </w:rPr>
        <w:t>Avant délégation d’assurance</w:t>
      </w:r>
      <w:r>
        <w:t>, le</w:t>
      </w:r>
      <w:r w:rsidR="00CB375E">
        <w:t xml:space="preserve"> coût </w:t>
      </w:r>
      <w:r w:rsidR="00A86A6E">
        <w:t>total du crédit</w:t>
      </w:r>
      <w:r w:rsidR="00CB375E">
        <w:t xml:space="preserve"> pour ce couple assuré est de </w:t>
      </w:r>
      <w:r w:rsidR="00CB375E" w:rsidRPr="00372B4A">
        <w:rPr>
          <w:b/>
        </w:rPr>
        <w:t>3</w:t>
      </w:r>
      <w:r w:rsidR="00E33107" w:rsidRPr="00372B4A">
        <w:rPr>
          <w:b/>
        </w:rPr>
        <w:t>7</w:t>
      </w:r>
      <w:r w:rsidR="00CB375E" w:rsidRPr="00372B4A">
        <w:rPr>
          <w:b/>
        </w:rPr>
        <w:t> </w:t>
      </w:r>
      <w:r w:rsidR="00E33107" w:rsidRPr="00372B4A">
        <w:rPr>
          <w:b/>
        </w:rPr>
        <w:t>2</w:t>
      </w:r>
      <w:r w:rsidR="00CB375E" w:rsidRPr="00372B4A">
        <w:rPr>
          <w:b/>
        </w:rPr>
        <w:t>00 €</w:t>
      </w:r>
      <w:r w:rsidR="009D7BE2" w:rsidRPr="00372B4A">
        <w:rPr>
          <w:b/>
        </w:rPr>
        <w:t>,</w:t>
      </w:r>
      <w:r w:rsidR="00CB375E">
        <w:t xml:space="preserve"> </w:t>
      </w:r>
      <w:r w:rsidR="009D7BE2">
        <w:t xml:space="preserve">le coût de l’assurance représentant plus de </w:t>
      </w:r>
      <w:r w:rsidR="009D7BE2" w:rsidRPr="00372B4A">
        <w:rPr>
          <w:b/>
        </w:rPr>
        <w:t>60%</w:t>
      </w:r>
      <w:r w:rsidR="009D7BE2">
        <w:t xml:space="preserve"> du coût total du crédit !</w:t>
      </w:r>
    </w:p>
    <w:p w14:paraId="7CBDA9EB" w14:textId="77777777" w:rsidR="00C77CAE" w:rsidRDefault="00583833" w:rsidP="00C77CAE">
      <w:pPr>
        <w:jc w:val="center"/>
      </w:pPr>
      <w:r w:rsidRPr="00583833">
        <w:rPr>
          <w:noProof/>
        </w:rPr>
        <w:drawing>
          <wp:inline distT="0" distB="0" distL="0" distR="0" wp14:anchorId="5FDFE294" wp14:editId="767B2D87">
            <wp:extent cx="4581525" cy="57744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147" cy="591513"/>
                    </a:xfrm>
                    <a:prstGeom prst="rect">
                      <a:avLst/>
                    </a:prstGeom>
                    <a:noFill/>
                    <a:ln>
                      <a:noFill/>
                    </a:ln>
                  </pic:spPr>
                </pic:pic>
              </a:graphicData>
            </a:graphic>
          </wp:inline>
        </w:drawing>
      </w:r>
    </w:p>
    <w:p w14:paraId="0FB91F0F" w14:textId="3A8EA29C" w:rsidR="00CB375E" w:rsidRDefault="009D7BE2" w:rsidP="00372B4A">
      <w:pPr>
        <w:pStyle w:val="Paragraphedeliste"/>
        <w:numPr>
          <w:ilvl w:val="0"/>
          <w:numId w:val="7"/>
        </w:numPr>
        <w:jc w:val="both"/>
      </w:pPr>
      <w:r w:rsidRPr="00372B4A">
        <w:rPr>
          <w:b/>
        </w:rPr>
        <w:t>E</w:t>
      </w:r>
      <w:r w:rsidR="00F05C4C" w:rsidRPr="00372B4A">
        <w:rPr>
          <w:b/>
        </w:rPr>
        <w:t xml:space="preserve">n </w:t>
      </w:r>
      <w:r w:rsidR="00AA34CE" w:rsidRPr="00372B4A">
        <w:rPr>
          <w:b/>
        </w:rPr>
        <w:t>faisant jouer</w:t>
      </w:r>
      <w:r w:rsidR="00F05C4C" w:rsidRPr="00372B4A">
        <w:rPr>
          <w:b/>
        </w:rPr>
        <w:t xml:space="preserve"> la délégation d’assurance</w:t>
      </w:r>
      <w:r w:rsidR="00F05C4C">
        <w:t xml:space="preserve"> auprès d’un assureur</w:t>
      </w:r>
      <w:r w:rsidR="00CB375E">
        <w:t xml:space="preserve"> avec un taux d’assurance de prêt r</w:t>
      </w:r>
      <w:r w:rsidR="00F62F4C">
        <w:t>enégocié</w:t>
      </w:r>
      <w:r w:rsidR="0010265D">
        <w:t xml:space="preserve">, </w:t>
      </w:r>
      <w:r w:rsidR="00F62F4C">
        <w:t>le taux d’assurance pou</w:t>
      </w:r>
      <w:r w:rsidR="0010265D">
        <w:t>rrait</w:t>
      </w:r>
      <w:r w:rsidR="00F62F4C">
        <w:t xml:space="preserve"> passer de 0,3</w:t>
      </w:r>
      <w:r w:rsidR="00E33107">
        <w:t>8</w:t>
      </w:r>
      <w:r w:rsidR="00E11975">
        <w:t xml:space="preserve"> </w:t>
      </w:r>
      <w:r w:rsidR="00F62F4C">
        <w:t>%</w:t>
      </w:r>
      <w:r w:rsidR="00E33107">
        <w:t xml:space="preserve"> (taux d’assurance moyen proposé par les banques)</w:t>
      </w:r>
      <w:r w:rsidR="00F62F4C">
        <w:t xml:space="preserve"> à 0,</w:t>
      </w:r>
      <w:r w:rsidR="00B07A1C">
        <w:t xml:space="preserve">20 </w:t>
      </w:r>
      <w:r w:rsidR="00F62F4C">
        <w:t>%</w:t>
      </w:r>
      <w:r w:rsidR="00914597">
        <w:t xml:space="preserve"> suite au recours à la délégation d’assurance</w:t>
      </w:r>
      <w:r w:rsidR="00F62F4C">
        <w:t xml:space="preserve"> </w:t>
      </w:r>
      <w:r w:rsidR="00977A60">
        <w:t>(selon les benchmarks ou comparateurs spécialisés).</w:t>
      </w:r>
      <w:r w:rsidR="00E33107">
        <w:t xml:space="preserve"> </w:t>
      </w:r>
    </w:p>
    <w:p w14:paraId="4BE94177" w14:textId="77777777" w:rsidR="00BC10DF" w:rsidRDefault="00BC10DF" w:rsidP="00372B4A">
      <w:pPr>
        <w:ind w:left="708"/>
        <w:jc w:val="both"/>
      </w:pPr>
      <w:r>
        <w:t xml:space="preserve">Ce tarif </w:t>
      </w:r>
      <w:r w:rsidRPr="00E33107">
        <w:rPr>
          <w:b/>
        </w:rPr>
        <w:t>en % du capital initial</w:t>
      </w:r>
      <w:r>
        <w:t xml:space="preserve"> a été choisi conformément aux taux moyens observés sur le marché après délégation d’assurance.</w:t>
      </w:r>
    </w:p>
    <w:p w14:paraId="4E8142DA" w14:textId="0D00FB0A" w:rsidR="00CB375E" w:rsidRDefault="00B07A1C" w:rsidP="00047743">
      <w:pPr>
        <w:jc w:val="center"/>
      </w:pPr>
      <w:r w:rsidRPr="00AC2E70">
        <w:rPr>
          <w:noProof/>
        </w:rPr>
        <w:drawing>
          <wp:inline distT="0" distB="0" distL="0" distR="0" wp14:anchorId="26B9F78B" wp14:editId="475A5F12">
            <wp:extent cx="4686300" cy="6477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647700"/>
                    </a:xfrm>
                    <a:prstGeom prst="rect">
                      <a:avLst/>
                    </a:prstGeom>
                    <a:noFill/>
                    <a:ln>
                      <a:noFill/>
                    </a:ln>
                  </pic:spPr>
                </pic:pic>
              </a:graphicData>
            </a:graphic>
          </wp:inline>
        </w:drawing>
      </w:r>
    </w:p>
    <w:p w14:paraId="4FEE901E" w14:textId="1FA66D61" w:rsidR="00CB375E" w:rsidRDefault="00CB375E" w:rsidP="007278E9">
      <w:pPr>
        <w:jc w:val="both"/>
      </w:pPr>
      <w:r>
        <w:t>Le coût total du crédit passe</w:t>
      </w:r>
      <w:r w:rsidR="008B2E34">
        <w:t>rait</w:t>
      </w:r>
      <w:r>
        <w:t xml:space="preserve"> alors à </w:t>
      </w:r>
      <w:r w:rsidR="00B07A1C">
        <w:rPr>
          <w:b/>
        </w:rPr>
        <w:t>2</w:t>
      </w:r>
      <w:r w:rsidR="00B07A1C" w:rsidRPr="00E33107">
        <w:rPr>
          <w:b/>
        </w:rPr>
        <w:t>6 </w:t>
      </w:r>
      <w:r w:rsidR="00B07A1C">
        <w:rPr>
          <w:b/>
        </w:rPr>
        <w:t>4</w:t>
      </w:r>
      <w:r w:rsidR="00B07A1C" w:rsidRPr="00E33107">
        <w:rPr>
          <w:b/>
        </w:rPr>
        <w:t xml:space="preserve">00 </w:t>
      </w:r>
      <w:r w:rsidRPr="00E33107">
        <w:rPr>
          <w:b/>
        </w:rPr>
        <w:t>€</w:t>
      </w:r>
      <w:r w:rsidR="00407A89">
        <w:rPr>
          <w:b/>
        </w:rPr>
        <w:t>,</w:t>
      </w:r>
      <w:r>
        <w:t xml:space="preserve"> </w:t>
      </w:r>
      <w:r w:rsidR="001B4C72">
        <w:t xml:space="preserve">soit une économie de </w:t>
      </w:r>
      <w:r w:rsidR="00B07A1C">
        <w:rPr>
          <w:b/>
        </w:rPr>
        <w:t>1</w:t>
      </w:r>
      <w:r w:rsidR="00B07A1C" w:rsidRPr="001B4C72">
        <w:rPr>
          <w:b/>
        </w:rPr>
        <w:t>0 </w:t>
      </w:r>
      <w:r w:rsidR="00B07A1C">
        <w:rPr>
          <w:b/>
        </w:rPr>
        <w:t>8</w:t>
      </w:r>
      <w:r w:rsidR="00B07A1C" w:rsidRPr="001B4C72">
        <w:rPr>
          <w:b/>
        </w:rPr>
        <w:t xml:space="preserve">00 </w:t>
      </w:r>
      <w:r w:rsidR="001B4C72" w:rsidRPr="001B4C72">
        <w:rPr>
          <w:b/>
        </w:rPr>
        <w:t>€</w:t>
      </w:r>
      <w:r w:rsidR="001B4C72">
        <w:rPr>
          <w:b/>
        </w:rPr>
        <w:t>.</w:t>
      </w:r>
      <w:r w:rsidR="00BC10DF">
        <w:t xml:space="preserve"> Le coût de l’assurance connaît également une baisse de près de </w:t>
      </w:r>
      <w:r w:rsidR="00B07A1C">
        <w:rPr>
          <w:b/>
        </w:rPr>
        <w:t xml:space="preserve">47 </w:t>
      </w:r>
      <w:r w:rsidR="00BC10DF" w:rsidRPr="00047743">
        <w:rPr>
          <w:b/>
        </w:rPr>
        <w:t>%</w:t>
      </w:r>
      <w:r w:rsidR="003744A4">
        <w:t>.</w:t>
      </w:r>
    </w:p>
    <w:p w14:paraId="0E1BB075" w14:textId="53143DD5" w:rsidR="005356F8" w:rsidRDefault="00583833" w:rsidP="007278E9">
      <w:pPr>
        <w:jc w:val="both"/>
      </w:pPr>
      <w:r>
        <w:t xml:space="preserve">La durée moyenne des crédits étant de 10 ans, </w:t>
      </w:r>
      <w:r w:rsidR="00290675">
        <w:t xml:space="preserve">une comparaison </w:t>
      </w:r>
      <w:r w:rsidR="00A86A6E">
        <w:t>du coût du crédit avec un</w:t>
      </w:r>
      <w:r w:rsidR="00290675">
        <w:t xml:space="preserve"> taux d’assurance avant et après délégation </w:t>
      </w:r>
      <w:r w:rsidR="00891C91">
        <w:t xml:space="preserve">sont </w:t>
      </w:r>
      <w:r w:rsidR="00290675">
        <w:t>effectuée</w:t>
      </w:r>
      <w:r w:rsidR="00891C91">
        <w:t>s</w:t>
      </w:r>
      <w:r w:rsidR="00290675">
        <w:t xml:space="preserve"> pour </w:t>
      </w:r>
      <w:r w:rsidR="00A86A6E">
        <w:t>ce même exemple</w:t>
      </w:r>
      <w:r w:rsidR="00290675">
        <w:t xml:space="preserve"> en considérant une durée de crédit de 10 ans.</w:t>
      </w:r>
    </w:p>
    <w:p w14:paraId="38A516DF" w14:textId="4EBED8B6" w:rsidR="00290675" w:rsidRDefault="00B07A1C" w:rsidP="00AA0F7E">
      <w:pPr>
        <w:jc w:val="center"/>
      </w:pPr>
      <w:r w:rsidRPr="00805ED9">
        <w:rPr>
          <w:noProof/>
        </w:rPr>
        <w:lastRenderedPageBreak/>
        <w:drawing>
          <wp:inline distT="0" distB="0" distL="0" distR="0" wp14:anchorId="435A6D04" wp14:editId="022422E0">
            <wp:extent cx="5760720" cy="658495"/>
            <wp:effectExtent l="0" t="0" r="0" b="825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58495"/>
                    </a:xfrm>
                    <a:prstGeom prst="rect">
                      <a:avLst/>
                    </a:prstGeom>
                    <a:noFill/>
                    <a:ln>
                      <a:noFill/>
                    </a:ln>
                  </pic:spPr>
                </pic:pic>
              </a:graphicData>
            </a:graphic>
          </wp:inline>
        </w:drawing>
      </w:r>
    </w:p>
    <w:p w14:paraId="1865A14E" w14:textId="268453E3" w:rsidR="00093EFE" w:rsidRPr="009F5D39" w:rsidRDefault="009F5D39" w:rsidP="007278E9">
      <w:pPr>
        <w:jc w:val="both"/>
      </w:pPr>
      <w:r>
        <w:t xml:space="preserve">La délégation d’assurance permettrait de faire une économie de </w:t>
      </w:r>
      <w:r w:rsidR="00B07A1C">
        <w:rPr>
          <w:b/>
        </w:rPr>
        <w:t>7</w:t>
      </w:r>
      <w:r w:rsidR="00B07A1C" w:rsidRPr="009F5D39">
        <w:rPr>
          <w:b/>
        </w:rPr>
        <w:t> </w:t>
      </w:r>
      <w:r w:rsidR="00B07A1C">
        <w:rPr>
          <w:b/>
        </w:rPr>
        <w:t>2</w:t>
      </w:r>
      <w:r w:rsidR="00B07A1C" w:rsidRPr="009F5D39">
        <w:rPr>
          <w:b/>
        </w:rPr>
        <w:t xml:space="preserve">00 </w:t>
      </w:r>
      <w:r w:rsidRPr="009F5D39">
        <w:rPr>
          <w:b/>
        </w:rPr>
        <w:t>€</w:t>
      </w:r>
      <w:r>
        <w:rPr>
          <w:b/>
        </w:rPr>
        <w:t xml:space="preserve"> </w:t>
      </w:r>
      <w:r>
        <w:t xml:space="preserve">(soit une baisse de </w:t>
      </w:r>
      <w:r w:rsidR="00B07A1C">
        <w:rPr>
          <w:i/>
        </w:rPr>
        <w:t>26</w:t>
      </w:r>
      <w:r w:rsidR="00B07A1C" w:rsidRPr="001554B2">
        <w:rPr>
          <w:i/>
        </w:rPr>
        <w:t xml:space="preserve"> </w:t>
      </w:r>
      <w:r w:rsidRPr="001554B2">
        <w:rPr>
          <w:i/>
        </w:rPr>
        <w:t>%</w:t>
      </w:r>
      <w:r>
        <w:t>) sur le coût du crédit à 10 ans.</w:t>
      </w:r>
    </w:p>
    <w:p w14:paraId="6AF3B66F" w14:textId="06906D31" w:rsidR="004A71E9" w:rsidRDefault="00892A28" w:rsidP="007278E9">
      <w:pPr>
        <w:jc w:val="both"/>
        <w:rPr>
          <w:b/>
          <w:color w:val="2F5496" w:themeColor="accent1" w:themeShade="BF"/>
          <w:u w:val="single"/>
        </w:rPr>
      </w:pPr>
      <w:r>
        <w:rPr>
          <w:b/>
          <w:color w:val="2F5496" w:themeColor="accent1" w:themeShade="BF"/>
          <w:u w:val="single"/>
        </w:rPr>
        <w:t xml:space="preserve">Une </w:t>
      </w:r>
      <w:r w:rsidR="007E7ADD">
        <w:rPr>
          <w:b/>
          <w:color w:val="2F5496" w:themeColor="accent1" w:themeShade="BF"/>
          <w:u w:val="single"/>
        </w:rPr>
        <w:t xml:space="preserve">nécessaire </w:t>
      </w:r>
      <w:r>
        <w:rPr>
          <w:b/>
          <w:color w:val="2F5496" w:themeColor="accent1" w:themeShade="BF"/>
          <w:u w:val="single"/>
        </w:rPr>
        <w:t>adaptation des banque</w:t>
      </w:r>
      <w:r w:rsidR="00407A89">
        <w:rPr>
          <w:b/>
          <w:color w:val="2F5496" w:themeColor="accent1" w:themeShade="BF"/>
          <w:u w:val="single"/>
        </w:rPr>
        <w:t>s</w:t>
      </w:r>
      <w:r>
        <w:rPr>
          <w:b/>
          <w:color w:val="2F5496" w:themeColor="accent1" w:themeShade="BF"/>
          <w:u w:val="single"/>
        </w:rPr>
        <w:t xml:space="preserve"> et des</w:t>
      </w:r>
      <w:r w:rsidR="00407A89">
        <w:rPr>
          <w:b/>
          <w:color w:val="2F5496" w:themeColor="accent1" w:themeShade="BF"/>
          <w:u w:val="single"/>
        </w:rPr>
        <w:t xml:space="preserve"> assureurs, </w:t>
      </w:r>
      <w:r>
        <w:rPr>
          <w:b/>
          <w:color w:val="2F5496" w:themeColor="accent1" w:themeShade="BF"/>
          <w:u w:val="single"/>
        </w:rPr>
        <w:t xml:space="preserve">des économies pour les </w:t>
      </w:r>
      <w:r w:rsidR="00407A89">
        <w:rPr>
          <w:b/>
          <w:color w:val="2F5496" w:themeColor="accent1" w:themeShade="BF"/>
          <w:u w:val="single"/>
        </w:rPr>
        <w:t>assurés</w:t>
      </w:r>
      <w:r>
        <w:rPr>
          <w:b/>
          <w:color w:val="2F5496" w:themeColor="accent1" w:themeShade="BF"/>
          <w:u w:val="single"/>
        </w:rPr>
        <w:t> ?</w:t>
      </w:r>
    </w:p>
    <w:p w14:paraId="70D62772" w14:textId="5724AAA1" w:rsidR="00407A89" w:rsidRDefault="004A71E9" w:rsidP="00407A89">
      <w:pPr>
        <w:jc w:val="both"/>
      </w:pPr>
      <w:r w:rsidRPr="00407A89">
        <w:rPr>
          <w:b/>
        </w:rPr>
        <w:t>I</w:t>
      </w:r>
      <w:r w:rsidR="009748D2" w:rsidRPr="00407A89">
        <w:rPr>
          <w:b/>
        </w:rPr>
        <w:t>l faut</w:t>
      </w:r>
      <w:r w:rsidR="00001A72" w:rsidRPr="00407A89">
        <w:rPr>
          <w:b/>
        </w:rPr>
        <w:t xml:space="preserve"> </w:t>
      </w:r>
      <w:r w:rsidR="009748D2" w:rsidRPr="00407A89">
        <w:rPr>
          <w:b/>
        </w:rPr>
        <w:t>s’attendre à une réaction du côté des établissements bancaires</w:t>
      </w:r>
      <w:r w:rsidR="009748D2">
        <w:t xml:space="preserve"> face à </w:t>
      </w:r>
      <w:r w:rsidR="00C61CA4">
        <w:t xml:space="preserve">cette </w:t>
      </w:r>
      <w:r w:rsidR="009748D2">
        <w:t xml:space="preserve">nouvelle concurrence. </w:t>
      </w:r>
      <w:r w:rsidR="004F60A4">
        <w:t>Ils</w:t>
      </w:r>
      <w:r w:rsidR="009748D2">
        <w:t xml:space="preserve"> </w:t>
      </w:r>
      <w:r w:rsidR="008B2E34">
        <w:t xml:space="preserve">devront </w:t>
      </w:r>
      <w:r w:rsidR="00785763">
        <w:t>adapter</w:t>
      </w:r>
      <w:r w:rsidR="009748D2">
        <w:t xml:space="preserve"> leurs offres afin de ne pas </w:t>
      </w:r>
      <w:r w:rsidR="00C61CA4">
        <w:t>subir une érosion de leur portefeuille</w:t>
      </w:r>
      <w:r w:rsidR="009748D2">
        <w:t>.</w:t>
      </w:r>
      <w:r w:rsidR="00372B4A" w:rsidRPr="00372B4A">
        <w:t xml:space="preserve"> </w:t>
      </w:r>
      <w:r w:rsidR="00372B4A">
        <w:t xml:space="preserve">Comment ? En proposant des offres attractives et adaptées aux nouveaux emprunteurs potentiels et en révisant leur stratégie marketing pour maintenir leur stock actuel d’assurés. </w:t>
      </w:r>
    </w:p>
    <w:p w14:paraId="22AC99D3" w14:textId="3D92F68B" w:rsidR="00372B4A" w:rsidRDefault="00372B4A" w:rsidP="00372B4A">
      <w:pPr>
        <w:jc w:val="both"/>
      </w:pPr>
      <w:r>
        <w:t>Les enjeux de fidélisation client sont importants</w:t>
      </w:r>
      <w:r w:rsidR="004F60A4">
        <w:t xml:space="preserve">, les risques de perte de rentabilité </w:t>
      </w:r>
      <w:r w:rsidR="00407A89">
        <w:t>consécutifs à</w:t>
      </w:r>
      <w:r w:rsidR="004F60A4">
        <w:t xml:space="preserve"> des résiliations sur les contrats d’assurance souscrits </w:t>
      </w:r>
      <w:r w:rsidR="00407A89">
        <w:t xml:space="preserve">depuis 4 ans à un taux très bas </w:t>
      </w:r>
      <w:r w:rsidR="004F60A4">
        <w:t>également</w:t>
      </w:r>
      <w:r>
        <w:t xml:space="preserve">. </w:t>
      </w:r>
      <w:r w:rsidR="00407A89">
        <w:t>Ces derniers risquent, en effet, de générer des marges négatives une fois les contrats résiliés. Les banques pourraient être amenées, de ce fait, à augmenter les taux d’emprunts afin de compenser ces pertes potentielles.</w:t>
      </w:r>
      <w:r w:rsidR="00407A89">
        <w:rPr>
          <w:b/>
          <w:color w:val="2F5496" w:themeColor="accent1" w:themeShade="BF"/>
          <w:u w:val="single"/>
        </w:rPr>
        <w:t xml:space="preserve"> </w:t>
      </w:r>
      <w:r>
        <w:t xml:space="preserve">L’utilisation de modèles de Data Science </w:t>
      </w:r>
      <w:r w:rsidR="00407A89">
        <w:t>peut</w:t>
      </w:r>
      <w:r>
        <w:t xml:space="preserve"> permet</w:t>
      </w:r>
      <w:r w:rsidR="00407A89">
        <w:t>tre</w:t>
      </w:r>
      <w:r>
        <w:t xml:space="preserve"> d’identifier les critères ou caractéristiques permettant d’identifier les signaux ou alertes de fragilité d’un portefeuille et prévenir les résiliations.</w:t>
      </w:r>
    </w:p>
    <w:p w14:paraId="1B35001F" w14:textId="206A727E" w:rsidR="00407A89" w:rsidRPr="00DA3DF5" w:rsidRDefault="00892A28" w:rsidP="00407A89">
      <w:pPr>
        <w:jc w:val="both"/>
      </w:pPr>
      <w:r w:rsidRPr="007E7ADD">
        <w:rPr>
          <w:b/>
        </w:rPr>
        <w:t>L</w:t>
      </w:r>
      <w:r w:rsidR="00407A89" w:rsidRPr="007E7ADD">
        <w:rPr>
          <w:b/>
        </w:rPr>
        <w:t xml:space="preserve">es assureurs </w:t>
      </w:r>
      <w:r w:rsidR="009C4C98">
        <w:rPr>
          <w:b/>
        </w:rPr>
        <w:t>devront</w:t>
      </w:r>
      <w:r w:rsidR="007147E1">
        <w:rPr>
          <w:b/>
        </w:rPr>
        <w:t xml:space="preserve"> aller au-delà </w:t>
      </w:r>
      <w:r w:rsidR="00407A89" w:rsidRPr="007E7ADD">
        <w:rPr>
          <w:b/>
        </w:rPr>
        <w:t>de l</w:t>
      </w:r>
      <w:r w:rsidR="007147E1">
        <w:rPr>
          <w:b/>
        </w:rPr>
        <w:t>’</w:t>
      </w:r>
      <w:r w:rsidR="00407A89" w:rsidRPr="007E7ADD">
        <w:rPr>
          <w:b/>
        </w:rPr>
        <w:t>argument tarifaire</w:t>
      </w:r>
      <w:r w:rsidR="007147E1">
        <w:rPr>
          <w:b/>
        </w:rPr>
        <w:t xml:space="preserve"> </w:t>
      </w:r>
      <w:r w:rsidR="007147E1" w:rsidRPr="00DA3DF5">
        <w:t>et</w:t>
      </w:r>
      <w:r w:rsidR="00407A89" w:rsidRPr="00DA3DF5">
        <w:t xml:space="preserve"> proposer à leurs clients des offres sur-mesure répondant à leur profil et à leurs besoins, en mettant en place de nouvelles segmentations permettant d’améliorer leur compétitivité.</w:t>
      </w:r>
    </w:p>
    <w:p w14:paraId="5B525B82" w14:textId="77777777" w:rsidR="00407A89" w:rsidRDefault="00407A89" w:rsidP="00407A89">
      <w:pPr>
        <w:jc w:val="both"/>
      </w:pPr>
      <w:r>
        <w:t>D’un point de vue technique, la baisse des tarifs due à la recherche de compétitivité des prix pourrait avoir des impacts sur le compte de résultat des assureurs, sur le niveau des frais et plus particulièrement sur les frais d’acquisition (création de nouveaux services, outil de simulation, souscription en ligne, prise en charge de formalités administratives, création de plateformes clients mobile, digitalisation de la gestion des sinistres etc.) mais aussi sur les règles de rémunération et de partage des résultats et/ou des efforts à consentir entre l’assureur et les distributeurs. Les accords de distribution pourraient ainsi être amenés à évoluer plus ou moins fortement entre les différents acteurs du marché.</w:t>
      </w:r>
    </w:p>
    <w:p w14:paraId="06CA553F" w14:textId="08108AF2" w:rsidR="00407A89" w:rsidRPr="009C4C98" w:rsidRDefault="00407A89" w:rsidP="00372B4A">
      <w:pPr>
        <w:jc w:val="both"/>
      </w:pPr>
      <w:r>
        <w:t>En termes de solvabilité, la baisse des tarifs entrainerait nécessairement une diminution des primes émises et de ce fait une augmentation mécanique des provisions et du besoin de solvabilité au sens des normes européennes Solvabilité 2</w:t>
      </w:r>
      <w:r>
        <w:rPr>
          <w:rStyle w:val="Appelnotedebasdep"/>
        </w:rPr>
        <w:footnoteReference w:id="2"/>
      </w:r>
      <w:r>
        <w:t>. Selon les scenarios possibles d’évolution, les assureurs pourraient instruire de nouveaux scénarios dans le cadre de leur gestion des risques (par l’intégration par exemple de scenarios de type chute du portefeuille dans le cadre de l’établissement du rapport ORSA</w:t>
      </w:r>
      <w:r>
        <w:rPr>
          <w:rStyle w:val="Appelnotedebasdep"/>
        </w:rPr>
        <w:footnoteReference w:id="3"/>
      </w:r>
      <w:r>
        <w:t>).</w:t>
      </w:r>
      <w:r w:rsidR="00C72F01">
        <w:t xml:space="preserve"> D</w:t>
      </w:r>
      <w:r w:rsidR="00C72F01" w:rsidRPr="00C72F01">
        <w:t>ans un contexte de mise en place en 2018 de la Directive Européenne sur la Distribution en Assurance qui renforce la protection des assurés ainsi que la gouvernance et la surveillance des produits d’assurance</w:t>
      </w:r>
      <w:r w:rsidR="00C72F01">
        <w:t>,</w:t>
      </w:r>
      <w:r w:rsidR="00C72F01" w:rsidRPr="00C72F01">
        <w:t xml:space="preserve"> les modèles économiques historiques pourraient être amenés à évoluer</w:t>
      </w:r>
      <w:r w:rsidR="00C72F01">
        <w:t>.</w:t>
      </w:r>
    </w:p>
    <w:p w14:paraId="1EA3C302" w14:textId="2C086C8C" w:rsidR="008B2E34" w:rsidRPr="007E7ADD" w:rsidRDefault="00C72F01" w:rsidP="007278E9">
      <w:pPr>
        <w:jc w:val="both"/>
        <w:rPr>
          <w:b/>
        </w:rPr>
      </w:pPr>
      <w:r>
        <w:rPr>
          <w:b/>
        </w:rPr>
        <w:t>C</w:t>
      </w:r>
      <w:r w:rsidR="007147E1" w:rsidRPr="007147E1">
        <w:rPr>
          <w:b/>
        </w:rPr>
        <w:t>ôté assurés</w:t>
      </w:r>
      <w:r w:rsidR="00892A28" w:rsidRPr="007147E1">
        <w:rPr>
          <w:b/>
        </w:rPr>
        <w:t>,</w:t>
      </w:r>
      <w:r w:rsidR="00892A28">
        <w:t xml:space="preserve"> </w:t>
      </w:r>
      <w:r w:rsidR="008B2E34" w:rsidRPr="007E7ADD">
        <w:rPr>
          <w:b/>
        </w:rPr>
        <w:t>la</w:t>
      </w:r>
      <w:r w:rsidR="007E7ADD" w:rsidRPr="007E7ADD">
        <w:rPr>
          <w:b/>
        </w:rPr>
        <w:t xml:space="preserve"> </w:t>
      </w:r>
      <w:r>
        <w:rPr>
          <w:b/>
        </w:rPr>
        <w:t>faculté</w:t>
      </w:r>
      <w:r w:rsidR="007E7ADD" w:rsidRPr="007E7ADD">
        <w:rPr>
          <w:b/>
        </w:rPr>
        <w:t xml:space="preserve"> de </w:t>
      </w:r>
      <w:r w:rsidR="008B2E34" w:rsidRPr="007E7ADD">
        <w:rPr>
          <w:b/>
        </w:rPr>
        <w:t xml:space="preserve">résiliation annuelle des contrats d’assurance emprunteurs </w:t>
      </w:r>
      <w:r w:rsidR="00892A28" w:rsidRPr="007E7ADD">
        <w:rPr>
          <w:b/>
        </w:rPr>
        <w:t>n’</w:t>
      </w:r>
      <w:r w:rsidR="007E7ADD" w:rsidRPr="007E7ADD">
        <w:rPr>
          <w:b/>
        </w:rPr>
        <w:t>impliquera</w:t>
      </w:r>
      <w:r w:rsidR="00892A28" w:rsidRPr="007E7ADD">
        <w:rPr>
          <w:b/>
        </w:rPr>
        <w:t xml:space="preserve"> pas </w:t>
      </w:r>
      <w:r w:rsidR="007E7ADD" w:rsidRPr="007E7ADD">
        <w:rPr>
          <w:b/>
        </w:rPr>
        <w:t>automatiquement</w:t>
      </w:r>
      <w:r w:rsidR="00A8463F" w:rsidRPr="007E7ADD">
        <w:rPr>
          <w:b/>
        </w:rPr>
        <w:t xml:space="preserve"> </w:t>
      </w:r>
      <w:r w:rsidR="007E7ADD" w:rsidRPr="007E7ADD">
        <w:rPr>
          <w:b/>
        </w:rPr>
        <w:t>une</w:t>
      </w:r>
      <w:r w:rsidR="00A8463F" w:rsidRPr="007E7ADD">
        <w:rPr>
          <w:b/>
        </w:rPr>
        <w:t xml:space="preserve"> diminution du coût de crédit</w:t>
      </w:r>
      <w:r w:rsidR="00C61CA4" w:rsidRPr="007E7ADD">
        <w:rPr>
          <w:b/>
        </w:rPr>
        <w:t>.</w:t>
      </w:r>
    </w:p>
    <w:p w14:paraId="0B7CE37E" w14:textId="5348E385" w:rsidR="00E821E8" w:rsidRDefault="00F752E9" w:rsidP="007278E9">
      <w:pPr>
        <w:jc w:val="both"/>
      </w:pPr>
      <w:r>
        <w:lastRenderedPageBreak/>
        <w:t>Si</w:t>
      </w:r>
      <w:r w:rsidR="00A8463F">
        <w:t xml:space="preserve"> </w:t>
      </w:r>
      <w:r w:rsidR="00E821E8">
        <w:t>certains acteurs du marché</w:t>
      </w:r>
      <w:r w:rsidR="00A8463F">
        <w:t xml:space="preserve"> annoncent des économies conséquentes pour les emprunteurs</w:t>
      </w:r>
      <w:r w:rsidR="00C61CA4">
        <w:t>,</w:t>
      </w:r>
      <w:r w:rsidR="00A8463F">
        <w:t xml:space="preserve"> </w:t>
      </w:r>
      <w:r w:rsidR="00E821E8">
        <w:t>d’autres</w:t>
      </w:r>
      <w:r w:rsidR="00CC4429">
        <w:t xml:space="preserve"> estiment que</w:t>
      </w:r>
      <w:r w:rsidR="00001A72">
        <w:t xml:space="preserve"> </w:t>
      </w:r>
      <w:r w:rsidR="00A8463F">
        <w:t>la</w:t>
      </w:r>
      <w:r w:rsidR="00001A72">
        <w:t xml:space="preserve"> </w:t>
      </w:r>
      <w:r w:rsidR="00A8463F">
        <w:t>diminution du coût de l’assurance</w:t>
      </w:r>
      <w:r w:rsidR="00001A72">
        <w:t xml:space="preserve"> ne devrait pas avoir d’impact réel sur les emprunteurs assurés </w:t>
      </w:r>
      <w:r w:rsidR="00A8463F">
        <w:t>si l’on considère</w:t>
      </w:r>
      <w:r w:rsidR="00001A72">
        <w:t xml:space="preserve"> que la hausse des taux d’emprunts</w:t>
      </w:r>
      <w:r w:rsidR="00A8463F">
        <w:t xml:space="preserve"> bancaires</w:t>
      </w:r>
      <w:r w:rsidR="00FB712F">
        <w:t xml:space="preserve"> servira de levier et</w:t>
      </w:r>
      <w:r w:rsidR="00001A72">
        <w:t xml:space="preserve"> compensera la baisse du taux d’assurance. Ce</w:t>
      </w:r>
      <w:r w:rsidR="008B2E34">
        <w:t xml:space="preserve"> qui</w:t>
      </w:r>
      <w:r w:rsidR="00001A72">
        <w:t xml:space="preserve"> impliquerait donc un coût total du crédit finalement identique pour les emprunteurs.</w:t>
      </w:r>
      <w:r w:rsidR="00E821E8">
        <w:t xml:space="preserve"> </w:t>
      </w:r>
    </w:p>
    <w:p w14:paraId="55A1A80F" w14:textId="6CE326C3" w:rsidR="001F7B35" w:rsidRPr="009A7C30" w:rsidRDefault="00E821E8" w:rsidP="00C72F01">
      <w:pPr>
        <w:jc w:val="both"/>
      </w:pPr>
      <w:r>
        <w:t xml:space="preserve">De plus, l’intérêt pour l’emprunteur de changer d’assurance ne paraît pas systématique, le tarif ne constituant pas la seule raison de changer d’assurance. Il </w:t>
      </w:r>
      <w:r w:rsidR="00F752E9">
        <w:t xml:space="preserve">lui </w:t>
      </w:r>
      <w:r>
        <w:t>faut également étudier</w:t>
      </w:r>
      <w:r w:rsidR="00230717">
        <w:t xml:space="preserve"> et comparer</w:t>
      </w:r>
      <w:r>
        <w:t xml:space="preserve"> les garanties proposées par le contrat d’assurance emprunteur, les exclusio</w:t>
      </w:r>
      <w:r w:rsidR="000E7BE5">
        <w:t xml:space="preserve">ns, l’acceptation des </w:t>
      </w:r>
      <w:r w:rsidR="00914597">
        <w:t xml:space="preserve">sinistres, </w:t>
      </w:r>
      <w:r w:rsidR="00C61CA4">
        <w:t>les services proposés</w:t>
      </w:r>
      <w:r w:rsidR="0062236E">
        <w:t xml:space="preserve"> et</w:t>
      </w:r>
      <w:r w:rsidR="00C61CA4">
        <w:t xml:space="preserve"> le niveau de digitalisation de la relation client (de l’adhésion à la gestion de sinistres)</w:t>
      </w:r>
      <w:r w:rsidR="0062236E">
        <w:t>.</w:t>
      </w:r>
    </w:p>
    <w:sectPr w:rsidR="001F7B35" w:rsidRPr="009A7C3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38EA" w14:textId="77777777" w:rsidR="003C0929" w:rsidRDefault="003C0929" w:rsidP="006C2E2A">
      <w:pPr>
        <w:spacing w:after="0" w:line="240" w:lineRule="auto"/>
      </w:pPr>
      <w:r>
        <w:separator/>
      </w:r>
    </w:p>
  </w:endnote>
  <w:endnote w:type="continuationSeparator" w:id="0">
    <w:p w14:paraId="0F5D06F0" w14:textId="77777777" w:rsidR="003C0929" w:rsidRDefault="003C0929" w:rsidP="006C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691A" w14:textId="77777777" w:rsidR="003C0929" w:rsidRDefault="003C0929" w:rsidP="006C2E2A">
      <w:pPr>
        <w:spacing w:after="0" w:line="240" w:lineRule="auto"/>
      </w:pPr>
      <w:r>
        <w:separator/>
      </w:r>
    </w:p>
  </w:footnote>
  <w:footnote w:type="continuationSeparator" w:id="0">
    <w:p w14:paraId="4A92137E" w14:textId="77777777" w:rsidR="003C0929" w:rsidRDefault="003C0929" w:rsidP="006C2E2A">
      <w:pPr>
        <w:spacing w:after="0" w:line="240" w:lineRule="auto"/>
      </w:pPr>
      <w:r>
        <w:continuationSeparator/>
      </w:r>
    </w:p>
  </w:footnote>
  <w:footnote w:id="1">
    <w:p w14:paraId="25834C5D" w14:textId="27B6982D" w:rsidR="00C63F5C" w:rsidRDefault="00C63F5C">
      <w:pPr>
        <w:pStyle w:val="Notedebasdepage"/>
      </w:pPr>
      <w:r>
        <w:rPr>
          <w:rStyle w:val="Appelnotedebasdep"/>
        </w:rPr>
        <w:footnoteRef/>
      </w:r>
      <w:r>
        <w:t xml:space="preserve"> Les quotités assurées peuvent être également de 50% pour chacune des deux têtes mais il a volontairement été choisi dans cet article des quotités importantes à 100% afin de montrer le niveau élevé de l’amplitude possible des tarifs.</w:t>
      </w:r>
    </w:p>
  </w:footnote>
  <w:footnote w:id="2">
    <w:p w14:paraId="2B301039" w14:textId="77777777" w:rsidR="00407A89" w:rsidRDefault="00407A89" w:rsidP="00407A89">
      <w:pPr>
        <w:pStyle w:val="Notedebasdepage"/>
      </w:pPr>
      <w:r>
        <w:rPr>
          <w:rStyle w:val="Appelnotedebasdep"/>
        </w:rPr>
        <w:footnoteRef/>
      </w:r>
      <w:r>
        <w:t xml:space="preserve"> Nouvelles normes de solvabilité applicables au secteur de l’assurance depuis le 01/01/2016.</w:t>
      </w:r>
    </w:p>
  </w:footnote>
  <w:footnote w:id="3">
    <w:p w14:paraId="6DEB36CB" w14:textId="77777777" w:rsidR="00407A89" w:rsidRDefault="00407A89" w:rsidP="00407A89">
      <w:pPr>
        <w:pStyle w:val="Notedebasdepage"/>
      </w:pPr>
      <w:r>
        <w:rPr>
          <w:rStyle w:val="Appelnotedebasdep"/>
        </w:rPr>
        <w:footnoteRef/>
      </w:r>
      <w:r>
        <w:t xml:space="preserve"> Own Risk and Solvency Assessment : rapport non public à produire au moins annuellement dans le respect des exigences des normes de solvabilité européennes Solvabilité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9F85" w14:textId="75E99651" w:rsidR="00707153" w:rsidRDefault="00093EFE" w:rsidP="00093EFE">
    <w:pPr>
      <w:pStyle w:val="En-tte"/>
      <w:jc w:val="right"/>
    </w:pPr>
    <w:r>
      <w:rPr>
        <w:noProof/>
        <w:lang w:eastAsia="fr-FR"/>
      </w:rPr>
      <w:drawing>
        <wp:anchor distT="0" distB="0" distL="114300" distR="114300" simplePos="0" relativeHeight="251658240" behindDoc="1" locked="0" layoutInCell="1" allowOverlap="1" wp14:anchorId="1AA5B322" wp14:editId="20DA9DDC">
          <wp:simplePos x="0" y="0"/>
          <wp:positionH relativeFrom="margin">
            <wp:posOffset>-19050</wp:posOffset>
          </wp:positionH>
          <wp:positionV relativeFrom="paragraph">
            <wp:posOffset>-49530</wp:posOffset>
          </wp:positionV>
          <wp:extent cx="1511808" cy="304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lea-actuaire-twitter.jpg"/>
                  <pic:cNvPicPr/>
                </pic:nvPicPr>
                <pic:blipFill>
                  <a:blip r:embed="rId1">
                    <a:extLst>
                      <a:ext uri="{28A0092B-C50C-407E-A947-70E740481C1C}">
                        <a14:useLocalDpi xmlns:a14="http://schemas.microsoft.com/office/drawing/2010/main" val="0"/>
                      </a:ext>
                    </a:extLst>
                  </a:blip>
                  <a:stretch>
                    <a:fillRect/>
                  </a:stretch>
                </pic:blipFill>
                <pic:spPr>
                  <a:xfrm>
                    <a:off x="0" y="0"/>
                    <a:ext cx="1511808" cy="304800"/>
                  </a:xfrm>
                  <a:prstGeom prst="rect">
                    <a:avLst/>
                  </a:prstGeom>
                </pic:spPr>
              </pic:pic>
            </a:graphicData>
          </a:graphic>
        </wp:anchor>
      </w:drawing>
    </w:r>
    <w:r>
      <w:t xml:space="preserve">                                                                                                                  </w:t>
    </w:r>
    <w:r w:rsidR="005255D5">
      <w:t>1</w:t>
    </w:r>
    <w:r w:rsidR="005255D5">
      <w:t>9</w:t>
    </w:r>
    <w:r w:rsidR="00C46CA8">
      <w:t>/02</w:t>
    </w:r>
    <w: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FCC"/>
    <w:multiLevelType w:val="hybridMultilevel"/>
    <w:tmpl w:val="0F884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195480"/>
    <w:multiLevelType w:val="hybridMultilevel"/>
    <w:tmpl w:val="A820584C"/>
    <w:lvl w:ilvl="0" w:tplc="E272B970">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5C5530A"/>
    <w:multiLevelType w:val="hybridMultilevel"/>
    <w:tmpl w:val="073E2032"/>
    <w:lvl w:ilvl="0" w:tplc="67941FB6">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ACD1179"/>
    <w:multiLevelType w:val="hybridMultilevel"/>
    <w:tmpl w:val="90B03FF6"/>
    <w:lvl w:ilvl="0" w:tplc="7AA801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2D6AFB"/>
    <w:multiLevelType w:val="hybridMultilevel"/>
    <w:tmpl w:val="ECF899D8"/>
    <w:lvl w:ilvl="0" w:tplc="690EC114">
      <w:start w:val="1"/>
      <w:numFmt w:val="decimal"/>
      <w:lvlText w:val="%1."/>
      <w:lvlJc w:val="left"/>
      <w:pPr>
        <w:ind w:left="360" w:hanging="360"/>
      </w:pPr>
      <w:rPr>
        <w:rFonts w:hint="default"/>
        <w:b/>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0315087"/>
    <w:multiLevelType w:val="hybridMultilevel"/>
    <w:tmpl w:val="66D2DD64"/>
    <w:lvl w:ilvl="0" w:tplc="E9064AD8">
      <w:start w:val="3"/>
      <w:numFmt w:val="bullet"/>
      <w:lvlText w:val="-"/>
      <w:lvlJc w:val="left"/>
      <w:pPr>
        <w:ind w:left="360" w:hanging="360"/>
      </w:pPr>
      <w:rPr>
        <w:rFonts w:ascii="Calibri" w:eastAsiaTheme="minorHAnsi" w:hAnsi="Calibri" w:cs="Calibri"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A9F080C"/>
    <w:multiLevelType w:val="hybridMultilevel"/>
    <w:tmpl w:val="476A0C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33"/>
    <w:rsid w:val="000006D6"/>
    <w:rsid w:val="000018F7"/>
    <w:rsid w:val="00001A72"/>
    <w:rsid w:val="000116CD"/>
    <w:rsid w:val="000213F8"/>
    <w:rsid w:val="0004392B"/>
    <w:rsid w:val="00047743"/>
    <w:rsid w:val="00050549"/>
    <w:rsid w:val="00056DD5"/>
    <w:rsid w:val="000651FF"/>
    <w:rsid w:val="00082D16"/>
    <w:rsid w:val="00093EFE"/>
    <w:rsid w:val="000D5450"/>
    <w:rsid w:val="000E2ACE"/>
    <w:rsid w:val="000E7BE5"/>
    <w:rsid w:val="000F3463"/>
    <w:rsid w:val="0010265D"/>
    <w:rsid w:val="001431FB"/>
    <w:rsid w:val="00150ABB"/>
    <w:rsid w:val="001554B2"/>
    <w:rsid w:val="00155B42"/>
    <w:rsid w:val="00162B98"/>
    <w:rsid w:val="00163B90"/>
    <w:rsid w:val="0016650D"/>
    <w:rsid w:val="0017662C"/>
    <w:rsid w:val="00181D30"/>
    <w:rsid w:val="00197A49"/>
    <w:rsid w:val="001A3FA1"/>
    <w:rsid w:val="001B1B55"/>
    <w:rsid w:val="001B4BEE"/>
    <w:rsid w:val="001B4C72"/>
    <w:rsid w:val="001C542C"/>
    <w:rsid w:val="001C5729"/>
    <w:rsid w:val="001D5FE6"/>
    <w:rsid w:val="001D61D8"/>
    <w:rsid w:val="001F4232"/>
    <w:rsid w:val="001F7B35"/>
    <w:rsid w:val="00210EBC"/>
    <w:rsid w:val="0021318B"/>
    <w:rsid w:val="00222F4C"/>
    <w:rsid w:val="00223375"/>
    <w:rsid w:val="0022407D"/>
    <w:rsid w:val="00230717"/>
    <w:rsid w:val="002453F3"/>
    <w:rsid w:val="00247B0E"/>
    <w:rsid w:val="00250241"/>
    <w:rsid w:val="0025300F"/>
    <w:rsid w:val="00257585"/>
    <w:rsid w:val="00257A01"/>
    <w:rsid w:val="0026154C"/>
    <w:rsid w:val="00281006"/>
    <w:rsid w:val="00283F69"/>
    <w:rsid w:val="00290675"/>
    <w:rsid w:val="0029522B"/>
    <w:rsid w:val="002B64AF"/>
    <w:rsid w:val="002C150A"/>
    <w:rsid w:val="002F135F"/>
    <w:rsid w:val="003117C2"/>
    <w:rsid w:val="00353D98"/>
    <w:rsid w:val="00355588"/>
    <w:rsid w:val="00362204"/>
    <w:rsid w:val="00372B4A"/>
    <w:rsid w:val="003744A4"/>
    <w:rsid w:val="003766F4"/>
    <w:rsid w:val="00377B5E"/>
    <w:rsid w:val="00393FA9"/>
    <w:rsid w:val="003A178F"/>
    <w:rsid w:val="003C0929"/>
    <w:rsid w:val="003D57A7"/>
    <w:rsid w:val="003E5C76"/>
    <w:rsid w:val="003E66A7"/>
    <w:rsid w:val="003E77AE"/>
    <w:rsid w:val="00407A89"/>
    <w:rsid w:val="004504EB"/>
    <w:rsid w:val="004611EA"/>
    <w:rsid w:val="0046638A"/>
    <w:rsid w:val="00476826"/>
    <w:rsid w:val="0049118F"/>
    <w:rsid w:val="004A01D2"/>
    <w:rsid w:val="004A6609"/>
    <w:rsid w:val="004A71E9"/>
    <w:rsid w:val="004C2CC9"/>
    <w:rsid w:val="004F0729"/>
    <w:rsid w:val="004F60A4"/>
    <w:rsid w:val="00502F25"/>
    <w:rsid w:val="00504A00"/>
    <w:rsid w:val="005255D5"/>
    <w:rsid w:val="00533604"/>
    <w:rsid w:val="005356F8"/>
    <w:rsid w:val="00583833"/>
    <w:rsid w:val="00590DA1"/>
    <w:rsid w:val="005B43C4"/>
    <w:rsid w:val="005C2A81"/>
    <w:rsid w:val="005F0C31"/>
    <w:rsid w:val="00600879"/>
    <w:rsid w:val="0062236E"/>
    <w:rsid w:val="00622513"/>
    <w:rsid w:val="00644907"/>
    <w:rsid w:val="0064639A"/>
    <w:rsid w:val="00664149"/>
    <w:rsid w:val="00683134"/>
    <w:rsid w:val="006B6780"/>
    <w:rsid w:val="006B6AFA"/>
    <w:rsid w:val="006C2E2A"/>
    <w:rsid w:val="006D08AF"/>
    <w:rsid w:val="006E65ED"/>
    <w:rsid w:val="006E74D6"/>
    <w:rsid w:val="006F2F31"/>
    <w:rsid w:val="007006C0"/>
    <w:rsid w:val="007045DE"/>
    <w:rsid w:val="00707153"/>
    <w:rsid w:val="00707B95"/>
    <w:rsid w:val="00707DC1"/>
    <w:rsid w:val="007147E1"/>
    <w:rsid w:val="00726D5B"/>
    <w:rsid w:val="007278E9"/>
    <w:rsid w:val="00732125"/>
    <w:rsid w:val="007502DC"/>
    <w:rsid w:val="00754C20"/>
    <w:rsid w:val="00785763"/>
    <w:rsid w:val="007904AB"/>
    <w:rsid w:val="00796D6B"/>
    <w:rsid w:val="007A0D52"/>
    <w:rsid w:val="007C5E86"/>
    <w:rsid w:val="007D0E6D"/>
    <w:rsid w:val="007D40A8"/>
    <w:rsid w:val="007E5171"/>
    <w:rsid w:val="007E7ADD"/>
    <w:rsid w:val="007F0C06"/>
    <w:rsid w:val="008342F6"/>
    <w:rsid w:val="008360E7"/>
    <w:rsid w:val="008364CE"/>
    <w:rsid w:val="00863AE6"/>
    <w:rsid w:val="00876DF8"/>
    <w:rsid w:val="008815DC"/>
    <w:rsid w:val="00884832"/>
    <w:rsid w:val="00891C91"/>
    <w:rsid w:val="00892A28"/>
    <w:rsid w:val="008B2E34"/>
    <w:rsid w:val="008E1447"/>
    <w:rsid w:val="008E196D"/>
    <w:rsid w:val="008E5BF9"/>
    <w:rsid w:val="008F29F5"/>
    <w:rsid w:val="008F64D1"/>
    <w:rsid w:val="00914597"/>
    <w:rsid w:val="009171EB"/>
    <w:rsid w:val="009201A0"/>
    <w:rsid w:val="009202F5"/>
    <w:rsid w:val="00921A02"/>
    <w:rsid w:val="00935702"/>
    <w:rsid w:val="009531DB"/>
    <w:rsid w:val="00961F83"/>
    <w:rsid w:val="009748D2"/>
    <w:rsid w:val="009753F6"/>
    <w:rsid w:val="00977A60"/>
    <w:rsid w:val="00983521"/>
    <w:rsid w:val="00985EC6"/>
    <w:rsid w:val="009A7C30"/>
    <w:rsid w:val="009B0F6B"/>
    <w:rsid w:val="009C4C98"/>
    <w:rsid w:val="009D7BE2"/>
    <w:rsid w:val="009E2D33"/>
    <w:rsid w:val="009F5D39"/>
    <w:rsid w:val="009F7D0C"/>
    <w:rsid w:val="00A0398A"/>
    <w:rsid w:val="00A16EE1"/>
    <w:rsid w:val="00A3384C"/>
    <w:rsid w:val="00A53C9A"/>
    <w:rsid w:val="00A54DE2"/>
    <w:rsid w:val="00A70A63"/>
    <w:rsid w:val="00A743A0"/>
    <w:rsid w:val="00A8463F"/>
    <w:rsid w:val="00A8628D"/>
    <w:rsid w:val="00A86A6E"/>
    <w:rsid w:val="00A87872"/>
    <w:rsid w:val="00A96577"/>
    <w:rsid w:val="00AA0F7E"/>
    <w:rsid w:val="00AA34CE"/>
    <w:rsid w:val="00AA4F12"/>
    <w:rsid w:val="00AB6557"/>
    <w:rsid w:val="00AC4C8D"/>
    <w:rsid w:val="00AC556C"/>
    <w:rsid w:val="00AD2D28"/>
    <w:rsid w:val="00AD347D"/>
    <w:rsid w:val="00B07A1C"/>
    <w:rsid w:val="00B10AD1"/>
    <w:rsid w:val="00B17062"/>
    <w:rsid w:val="00B43E0F"/>
    <w:rsid w:val="00B53FBB"/>
    <w:rsid w:val="00B644A0"/>
    <w:rsid w:val="00B645C1"/>
    <w:rsid w:val="00B655C1"/>
    <w:rsid w:val="00BB417E"/>
    <w:rsid w:val="00BC10DF"/>
    <w:rsid w:val="00BE2899"/>
    <w:rsid w:val="00BE7461"/>
    <w:rsid w:val="00C03BAA"/>
    <w:rsid w:val="00C04404"/>
    <w:rsid w:val="00C13747"/>
    <w:rsid w:val="00C22A28"/>
    <w:rsid w:val="00C35AA7"/>
    <w:rsid w:val="00C46CA8"/>
    <w:rsid w:val="00C52451"/>
    <w:rsid w:val="00C6185D"/>
    <w:rsid w:val="00C61CA4"/>
    <w:rsid w:val="00C6292C"/>
    <w:rsid w:val="00C63F5C"/>
    <w:rsid w:val="00C67756"/>
    <w:rsid w:val="00C72F01"/>
    <w:rsid w:val="00C77CAE"/>
    <w:rsid w:val="00C8130C"/>
    <w:rsid w:val="00CA72CB"/>
    <w:rsid w:val="00CB2B13"/>
    <w:rsid w:val="00CB375E"/>
    <w:rsid w:val="00CB4931"/>
    <w:rsid w:val="00CB546F"/>
    <w:rsid w:val="00CC4429"/>
    <w:rsid w:val="00D3133F"/>
    <w:rsid w:val="00D6675A"/>
    <w:rsid w:val="00D8456A"/>
    <w:rsid w:val="00D86D13"/>
    <w:rsid w:val="00D94414"/>
    <w:rsid w:val="00DA2733"/>
    <w:rsid w:val="00DA3DF5"/>
    <w:rsid w:val="00DA40AF"/>
    <w:rsid w:val="00DD359E"/>
    <w:rsid w:val="00DE23BA"/>
    <w:rsid w:val="00DE3673"/>
    <w:rsid w:val="00DE4398"/>
    <w:rsid w:val="00DF1B31"/>
    <w:rsid w:val="00DF6074"/>
    <w:rsid w:val="00E11975"/>
    <w:rsid w:val="00E12796"/>
    <w:rsid w:val="00E17419"/>
    <w:rsid w:val="00E32323"/>
    <w:rsid w:val="00E33107"/>
    <w:rsid w:val="00E501E7"/>
    <w:rsid w:val="00E542C1"/>
    <w:rsid w:val="00E61196"/>
    <w:rsid w:val="00E62229"/>
    <w:rsid w:val="00E821E8"/>
    <w:rsid w:val="00EB5250"/>
    <w:rsid w:val="00EB563D"/>
    <w:rsid w:val="00EC01DB"/>
    <w:rsid w:val="00ED2871"/>
    <w:rsid w:val="00ED7F33"/>
    <w:rsid w:val="00EE2C93"/>
    <w:rsid w:val="00EE5F5F"/>
    <w:rsid w:val="00EE767F"/>
    <w:rsid w:val="00EF6620"/>
    <w:rsid w:val="00F01A0B"/>
    <w:rsid w:val="00F05C4C"/>
    <w:rsid w:val="00F07D6A"/>
    <w:rsid w:val="00F204BA"/>
    <w:rsid w:val="00F238FA"/>
    <w:rsid w:val="00F25053"/>
    <w:rsid w:val="00F53176"/>
    <w:rsid w:val="00F62F4C"/>
    <w:rsid w:val="00F752E9"/>
    <w:rsid w:val="00F86555"/>
    <w:rsid w:val="00F903E1"/>
    <w:rsid w:val="00F913C5"/>
    <w:rsid w:val="00F9164E"/>
    <w:rsid w:val="00F94C35"/>
    <w:rsid w:val="00FA0798"/>
    <w:rsid w:val="00FA1DA8"/>
    <w:rsid w:val="00FA695F"/>
    <w:rsid w:val="00FB712F"/>
    <w:rsid w:val="00FD0145"/>
    <w:rsid w:val="00FD4085"/>
    <w:rsid w:val="00FF0E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6307"/>
  <w15:chartTrackingRefBased/>
  <w15:docId w15:val="{E586947B-EFBC-4CF6-8635-DCBD6EA4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E2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2D33"/>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9E2D33"/>
    <w:pPr>
      <w:ind w:left="720"/>
      <w:contextualSpacing/>
    </w:pPr>
  </w:style>
  <w:style w:type="paragraph" w:styleId="NormalWeb">
    <w:name w:val="Normal (Web)"/>
    <w:basedOn w:val="Normal"/>
    <w:uiPriority w:val="99"/>
    <w:unhideWhenUsed/>
    <w:rsid w:val="004504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170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7062"/>
    <w:rPr>
      <w:rFonts w:ascii="Segoe UI" w:hAnsi="Segoe UI" w:cs="Segoe UI"/>
      <w:sz w:val="18"/>
      <w:szCs w:val="18"/>
    </w:rPr>
  </w:style>
  <w:style w:type="character" w:styleId="Marquedecommentaire">
    <w:name w:val="annotation reference"/>
    <w:basedOn w:val="Policepardfaut"/>
    <w:uiPriority w:val="99"/>
    <w:semiHidden/>
    <w:unhideWhenUsed/>
    <w:rsid w:val="00E12796"/>
    <w:rPr>
      <w:sz w:val="16"/>
      <w:szCs w:val="16"/>
    </w:rPr>
  </w:style>
  <w:style w:type="paragraph" w:styleId="Commentaire">
    <w:name w:val="annotation text"/>
    <w:basedOn w:val="Normal"/>
    <w:link w:val="CommentaireCar"/>
    <w:uiPriority w:val="99"/>
    <w:semiHidden/>
    <w:unhideWhenUsed/>
    <w:rsid w:val="00E12796"/>
    <w:pPr>
      <w:spacing w:line="240" w:lineRule="auto"/>
    </w:pPr>
    <w:rPr>
      <w:sz w:val="20"/>
      <w:szCs w:val="20"/>
    </w:rPr>
  </w:style>
  <w:style w:type="character" w:customStyle="1" w:styleId="CommentaireCar">
    <w:name w:val="Commentaire Car"/>
    <w:basedOn w:val="Policepardfaut"/>
    <w:link w:val="Commentaire"/>
    <w:uiPriority w:val="99"/>
    <w:semiHidden/>
    <w:rsid w:val="00E12796"/>
    <w:rPr>
      <w:sz w:val="20"/>
      <w:szCs w:val="20"/>
    </w:rPr>
  </w:style>
  <w:style w:type="paragraph" w:styleId="Objetducommentaire">
    <w:name w:val="annotation subject"/>
    <w:basedOn w:val="Commentaire"/>
    <w:next w:val="Commentaire"/>
    <w:link w:val="ObjetducommentaireCar"/>
    <w:uiPriority w:val="99"/>
    <w:semiHidden/>
    <w:unhideWhenUsed/>
    <w:rsid w:val="00E12796"/>
    <w:rPr>
      <w:b/>
      <w:bCs/>
    </w:rPr>
  </w:style>
  <w:style w:type="character" w:customStyle="1" w:styleId="ObjetducommentaireCar">
    <w:name w:val="Objet du commentaire Car"/>
    <w:basedOn w:val="CommentaireCar"/>
    <w:link w:val="Objetducommentaire"/>
    <w:uiPriority w:val="99"/>
    <w:semiHidden/>
    <w:rsid w:val="00E12796"/>
    <w:rPr>
      <w:b/>
      <w:bCs/>
      <w:sz w:val="20"/>
      <w:szCs w:val="20"/>
    </w:rPr>
  </w:style>
  <w:style w:type="paragraph" w:styleId="Notedebasdepage">
    <w:name w:val="footnote text"/>
    <w:basedOn w:val="Normal"/>
    <w:link w:val="NotedebasdepageCar"/>
    <w:uiPriority w:val="99"/>
    <w:semiHidden/>
    <w:unhideWhenUsed/>
    <w:rsid w:val="006C2E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2E2A"/>
    <w:rPr>
      <w:sz w:val="20"/>
      <w:szCs w:val="20"/>
    </w:rPr>
  </w:style>
  <w:style w:type="character" w:styleId="Appelnotedebasdep">
    <w:name w:val="footnote reference"/>
    <w:basedOn w:val="Policepardfaut"/>
    <w:uiPriority w:val="99"/>
    <w:semiHidden/>
    <w:unhideWhenUsed/>
    <w:rsid w:val="006C2E2A"/>
    <w:rPr>
      <w:vertAlign w:val="superscript"/>
    </w:rPr>
  </w:style>
  <w:style w:type="paragraph" w:styleId="Rvision">
    <w:name w:val="Revision"/>
    <w:hidden/>
    <w:uiPriority w:val="99"/>
    <w:semiHidden/>
    <w:rsid w:val="00E61196"/>
    <w:pPr>
      <w:spacing w:after="0" w:line="240" w:lineRule="auto"/>
    </w:pPr>
  </w:style>
  <w:style w:type="paragraph" w:styleId="En-tte">
    <w:name w:val="header"/>
    <w:basedOn w:val="Normal"/>
    <w:link w:val="En-tteCar"/>
    <w:uiPriority w:val="99"/>
    <w:unhideWhenUsed/>
    <w:rsid w:val="00707153"/>
    <w:pPr>
      <w:tabs>
        <w:tab w:val="center" w:pos="4536"/>
        <w:tab w:val="right" w:pos="9072"/>
      </w:tabs>
      <w:spacing w:after="0" w:line="240" w:lineRule="auto"/>
    </w:pPr>
  </w:style>
  <w:style w:type="character" w:customStyle="1" w:styleId="En-tteCar">
    <w:name w:val="En-tête Car"/>
    <w:basedOn w:val="Policepardfaut"/>
    <w:link w:val="En-tte"/>
    <w:uiPriority w:val="99"/>
    <w:rsid w:val="00707153"/>
  </w:style>
  <w:style w:type="paragraph" w:styleId="Pieddepage">
    <w:name w:val="footer"/>
    <w:basedOn w:val="Normal"/>
    <w:link w:val="PieddepageCar"/>
    <w:uiPriority w:val="99"/>
    <w:unhideWhenUsed/>
    <w:rsid w:val="00707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7153"/>
  </w:style>
  <w:style w:type="character" w:styleId="Accentuation">
    <w:name w:val="Emphasis"/>
    <w:basedOn w:val="Policepardfaut"/>
    <w:uiPriority w:val="20"/>
    <w:qFormat/>
    <w:rsid w:val="00953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B4B3-595E-4FFD-901A-9D6B440C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1386</Words>
  <Characters>7628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ATTIAS</dc:creator>
  <cp:keywords/>
  <dc:description/>
  <cp:lastModifiedBy>Christine Singer</cp:lastModifiedBy>
  <cp:revision>6</cp:revision>
  <cp:lastPrinted>2017-12-08T09:30:00Z</cp:lastPrinted>
  <dcterms:created xsi:type="dcterms:W3CDTF">2018-02-16T10:19:00Z</dcterms:created>
  <dcterms:modified xsi:type="dcterms:W3CDTF">2018-02-19T10:29:00Z</dcterms:modified>
</cp:coreProperties>
</file>